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12E10" w14:textId="77777777" w:rsidR="00E2638D" w:rsidRDefault="00547B2C" w:rsidP="00D9451C">
      <w:pPr>
        <w:pStyle w:val="Heading1"/>
        <w:spacing w:before="72" w:line="312" w:lineRule="auto"/>
        <w:ind w:left="0" w:hanging="18"/>
        <w:jc w:val="center"/>
      </w:pPr>
      <w:bookmarkStart w:id="0" w:name="_Hlk129186940"/>
      <w:r>
        <w:t>FINANCIAL PROJECT</w:t>
      </w:r>
      <w:r w:rsidR="00D9451C">
        <w:t xml:space="preserve"> P</w:t>
      </w:r>
      <w:r w:rsidR="000F30A1">
        <w:t>LAN</w:t>
      </w:r>
    </w:p>
    <w:p w14:paraId="6DF0D7D4" w14:textId="62544A34" w:rsidR="00D9451C" w:rsidRDefault="000F30A1" w:rsidP="00F972B5">
      <w:pPr>
        <w:pStyle w:val="BodyText"/>
        <w:spacing w:before="140"/>
        <w:ind w:left="136"/>
        <w:jc w:val="both"/>
      </w:pPr>
      <w:r w:rsidRPr="00E4790F">
        <w:t>This document</w:t>
      </w:r>
      <w:r w:rsidR="00D9451C" w:rsidRPr="00E4790F">
        <w:t xml:space="preserve"> is to be completed </w:t>
      </w:r>
      <w:r w:rsidR="007E463C" w:rsidRPr="00E4790F">
        <w:t xml:space="preserve">by the </w:t>
      </w:r>
      <w:r w:rsidR="00D9451C" w:rsidRPr="00E4790F">
        <w:t xml:space="preserve">subrecipient. </w:t>
      </w:r>
      <w:r w:rsidR="00D90253" w:rsidRPr="00E4790F">
        <w:t>The information should</w:t>
      </w:r>
      <w:r w:rsidRPr="00E4790F">
        <w:t xml:space="preserve"> include planned responses for use of ARPA funding to be passed thro</w:t>
      </w:r>
      <w:r w:rsidR="003E726E">
        <w:t xml:space="preserve">ugh to eligible </w:t>
      </w:r>
      <w:r w:rsidR="003D0523">
        <w:t xml:space="preserve">independent </w:t>
      </w:r>
      <w:r w:rsidR="00B10D7E">
        <w:t>schools</w:t>
      </w:r>
      <w:r w:rsidR="003D0523">
        <w:t xml:space="preserve"> </w:t>
      </w:r>
      <w:r w:rsidRPr="00E4790F">
        <w:t>in Mississippi.</w:t>
      </w:r>
      <w:r w:rsidR="00D90253" w:rsidRPr="00E4790F">
        <w:t xml:space="preserve"> </w:t>
      </w:r>
    </w:p>
    <w:p w14:paraId="4B94CCD0" w14:textId="77777777" w:rsidR="00F972B5" w:rsidRDefault="00F972B5" w:rsidP="00F972B5">
      <w:pPr>
        <w:pStyle w:val="BodyText"/>
        <w:ind w:left="130"/>
        <w:jc w:val="both"/>
      </w:pPr>
    </w:p>
    <w:tbl>
      <w:tblPr>
        <w:tblStyle w:val="TableGrid"/>
        <w:tblW w:w="0" w:type="auto"/>
        <w:tblInd w:w="496" w:type="dxa"/>
        <w:tblLook w:val="04A0" w:firstRow="1" w:lastRow="0" w:firstColumn="1" w:lastColumn="0" w:noHBand="0" w:noVBand="1"/>
      </w:tblPr>
      <w:tblGrid>
        <w:gridCol w:w="3339"/>
        <w:gridCol w:w="5515"/>
      </w:tblGrid>
      <w:tr w:rsidR="00D9451C" w:rsidRPr="00E4790F" w14:paraId="3734382E" w14:textId="77777777" w:rsidTr="000F30A1">
        <w:tc>
          <w:tcPr>
            <w:tcW w:w="3339" w:type="dxa"/>
          </w:tcPr>
          <w:p w14:paraId="26821783" w14:textId="77777777" w:rsidR="00D9451C" w:rsidRPr="00E4790F" w:rsidRDefault="00D9451C" w:rsidP="008A1103">
            <w:pPr>
              <w:pStyle w:val="BodyText"/>
              <w:spacing w:before="140"/>
              <w:ind w:left="136"/>
              <w:rPr>
                <w:b/>
              </w:rPr>
            </w:pPr>
            <w:r w:rsidRPr="00E4790F">
              <w:rPr>
                <w:b/>
              </w:rPr>
              <w:t>Organization Name</w:t>
            </w:r>
          </w:p>
        </w:tc>
        <w:tc>
          <w:tcPr>
            <w:tcW w:w="5515" w:type="dxa"/>
          </w:tcPr>
          <w:p w14:paraId="67CCCF29" w14:textId="77777777" w:rsidR="00D9451C" w:rsidRPr="00E4790F" w:rsidRDefault="00D9451C" w:rsidP="008A1103">
            <w:pPr>
              <w:pStyle w:val="BodyText"/>
              <w:spacing w:before="140"/>
              <w:ind w:left="136"/>
              <w:rPr>
                <w:b/>
              </w:rPr>
            </w:pPr>
          </w:p>
        </w:tc>
      </w:tr>
      <w:tr w:rsidR="000F30A1" w:rsidRPr="00E4790F" w14:paraId="1AA405B6" w14:textId="77777777" w:rsidTr="00942D2C">
        <w:tc>
          <w:tcPr>
            <w:tcW w:w="3339" w:type="dxa"/>
          </w:tcPr>
          <w:p w14:paraId="695BFFD8" w14:textId="77777777" w:rsidR="000F30A1" w:rsidRPr="00E4790F" w:rsidRDefault="000F30A1" w:rsidP="008A1103">
            <w:pPr>
              <w:pStyle w:val="BodyText"/>
              <w:spacing w:before="140"/>
              <w:ind w:left="136"/>
              <w:rPr>
                <w:b/>
              </w:rPr>
            </w:pPr>
            <w:r w:rsidRPr="00E4790F">
              <w:rPr>
                <w:b/>
              </w:rPr>
              <w:t>Date</w:t>
            </w:r>
          </w:p>
        </w:tc>
        <w:tc>
          <w:tcPr>
            <w:tcW w:w="5515" w:type="dxa"/>
          </w:tcPr>
          <w:p w14:paraId="0972F815" w14:textId="77777777" w:rsidR="000F30A1" w:rsidRPr="00E4790F" w:rsidRDefault="000F30A1" w:rsidP="008A1103">
            <w:pPr>
              <w:pStyle w:val="BodyText"/>
              <w:spacing w:before="140"/>
              <w:ind w:left="136"/>
              <w:rPr>
                <w:b/>
              </w:rPr>
            </w:pPr>
          </w:p>
        </w:tc>
      </w:tr>
    </w:tbl>
    <w:p w14:paraId="217BE6EB" w14:textId="77777777" w:rsidR="00D9451C" w:rsidRPr="00E4790F" w:rsidRDefault="00D9451C" w:rsidP="00F972B5">
      <w:pPr>
        <w:pStyle w:val="BodyText"/>
        <w:rPr>
          <w:b/>
        </w:rPr>
      </w:pPr>
    </w:p>
    <w:p w14:paraId="29568A02" w14:textId="77777777" w:rsidR="00E72504" w:rsidRPr="00E4790F" w:rsidRDefault="00D9451C" w:rsidP="00F972B5">
      <w:pPr>
        <w:pStyle w:val="BodyText"/>
        <w:numPr>
          <w:ilvl w:val="0"/>
          <w:numId w:val="3"/>
        </w:numPr>
        <w:spacing w:before="140"/>
        <w:rPr>
          <w:b/>
        </w:rPr>
      </w:pPr>
      <w:r w:rsidRPr="00E4790F">
        <w:rPr>
          <w:b/>
        </w:rPr>
        <w:t>Financial Summary</w:t>
      </w:r>
      <w:r w:rsidR="000F30A1" w:rsidRPr="00E4790F">
        <w:rPr>
          <w:b/>
        </w:rPr>
        <w:t xml:space="preserve"> – Total Funding Expected to be Allocated - $__________________</w:t>
      </w:r>
      <w:r w:rsidRPr="00E4790F">
        <w:rPr>
          <w:b/>
        </w:rPr>
        <w:br/>
      </w:r>
    </w:p>
    <w:p w14:paraId="77F930E3" w14:textId="77777777" w:rsidR="00D9451C" w:rsidRPr="00E4790F" w:rsidRDefault="00D9451C" w:rsidP="00507523">
      <w:pPr>
        <w:pStyle w:val="BodyText"/>
        <w:numPr>
          <w:ilvl w:val="0"/>
          <w:numId w:val="3"/>
        </w:numPr>
        <w:spacing w:before="140"/>
        <w:jc w:val="both"/>
        <w:rPr>
          <w:b/>
        </w:rPr>
      </w:pPr>
      <w:r w:rsidRPr="00E4790F">
        <w:rPr>
          <w:b/>
        </w:rPr>
        <w:t>Performance:</w:t>
      </w:r>
      <w:r w:rsidR="00507523" w:rsidRPr="00E4790F">
        <w:rPr>
          <w:b/>
        </w:rPr>
        <w:t xml:space="preserve">  </w:t>
      </w:r>
      <w:r w:rsidR="005E6D84" w:rsidRPr="00E4790F">
        <w:t xml:space="preserve">Organizations shall </w:t>
      </w:r>
      <w:r w:rsidR="005E6D84">
        <w:t xml:space="preserve">refer to the Final Rule guidance to ensure that expenditures are for eligible uses. </w:t>
      </w:r>
      <w:r w:rsidR="005E6D84" w:rsidRPr="00D41DA8">
        <w:rPr>
          <w:rFonts w:cstheme="minorHAnsi"/>
        </w:rPr>
        <w:t>U.S. Treasury Guidance and FAQs for State, Local and Tribal Governments can be found</w:t>
      </w:r>
      <w:r w:rsidR="005E6D84" w:rsidRPr="0060455A">
        <w:rPr>
          <w:rFonts w:cstheme="minorHAnsi"/>
          <w:color w:val="555555"/>
        </w:rPr>
        <w:t xml:space="preserve"> </w:t>
      </w:r>
      <w:r w:rsidR="005E6D84">
        <w:t xml:space="preserve">at </w:t>
      </w:r>
      <w:hyperlink r:id="rId7" w:history="1">
        <w:r w:rsidR="005E6D84">
          <w:rPr>
            <w:rStyle w:val="Hyperlink"/>
          </w:rPr>
          <w:t>SLFRF-Final-Rule-FAQ.pdf (treasury.gov)</w:t>
        </w:r>
      </w:hyperlink>
      <w:r w:rsidR="005E6D84">
        <w:t xml:space="preserve">. </w:t>
      </w:r>
      <w:r w:rsidR="00720613" w:rsidRPr="00E4790F">
        <w:t>O</w:t>
      </w:r>
      <w:r w:rsidR="00507523" w:rsidRPr="00E4790F">
        <w:t>rganization</w:t>
      </w:r>
      <w:r w:rsidR="00720613" w:rsidRPr="00E4790F">
        <w:t>s</w:t>
      </w:r>
      <w:r w:rsidR="00507523" w:rsidRPr="00E4790F">
        <w:t xml:space="preserve"> </w:t>
      </w:r>
      <w:r w:rsidR="00720613" w:rsidRPr="00E4790F">
        <w:t xml:space="preserve">shall detail below how the organization </w:t>
      </w:r>
      <w:r w:rsidR="006818BC">
        <w:t>expects to</w:t>
      </w:r>
      <w:r w:rsidR="00507523" w:rsidRPr="00E4790F">
        <w:t xml:space="preserve"> spen</w:t>
      </w:r>
      <w:r w:rsidR="006818BC">
        <w:t>d</w:t>
      </w:r>
      <w:r w:rsidR="00507523" w:rsidRPr="00E4790F">
        <w:t xml:space="preserve"> the amount of funding allocated for the specific purpose</w:t>
      </w:r>
      <w:r w:rsidR="007E463C" w:rsidRPr="00E4790F">
        <w:t xml:space="preserve"> as stated in the grant agreement</w:t>
      </w:r>
      <w:r w:rsidR="00507523" w:rsidRPr="00E4790F">
        <w:t xml:space="preserve">. </w:t>
      </w:r>
      <w:r w:rsidR="00F972B5">
        <w:t>Please include an explanation of how each project</w:t>
      </w:r>
      <w:r w:rsidR="005E6D84">
        <w:t xml:space="preserve"> meets the eligibility criteria based on the </w:t>
      </w:r>
      <w:r w:rsidR="0051085A">
        <w:t>Coronavirus State and Local Fiscal Recovery Funds (</w:t>
      </w:r>
      <w:r w:rsidR="005E6D84">
        <w:t>SLFRF</w:t>
      </w:r>
      <w:r w:rsidR="0051085A">
        <w:t>)</w:t>
      </w:r>
      <w:r w:rsidR="005E6D84">
        <w:t xml:space="preserve"> final rule.  </w:t>
      </w:r>
      <w:r w:rsidR="00507523" w:rsidRPr="00E4790F">
        <w:t>The description should include activities and progr</w:t>
      </w:r>
      <w:r w:rsidR="00720613" w:rsidRPr="00E4790F">
        <w:t>ess against the</w:t>
      </w:r>
      <w:r w:rsidR="00507523" w:rsidRPr="00E4790F">
        <w:t xml:space="preserve"> scope of work and outcomes of that work.  Attach additional documents as necessary</w:t>
      </w:r>
      <w:r w:rsidR="000F30A1" w:rsidRPr="00E4790F">
        <w:t>.</w:t>
      </w:r>
      <w:r w:rsidR="000F30A1" w:rsidRPr="00E4790F">
        <w:tab/>
      </w:r>
    </w:p>
    <w:tbl>
      <w:tblPr>
        <w:tblStyle w:val="TableGrid"/>
        <w:tblW w:w="0" w:type="auto"/>
        <w:tblInd w:w="496" w:type="dxa"/>
        <w:tblLook w:val="04A0" w:firstRow="1" w:lastRow="0" w:firstColumn="1" w:lastColumn="0" w:noHBand="0" w:noVBand="1"/>
      </w:tblPr>
      <w:tblGrid>
        <w:gridCol w:w="8854"/>
      </w:tblGrid>
      <w:tr w:rsidR="00507523" w:rsidRPr="00E4790F" w14:paraId="219CA3D8" w14:textId="77777777" w:rsidTr="000F30A1">
        <w:trPr>
          <w:trHeight w:val="4040"/>
        </w:trPr>
        <w:tc>
          <w:tcPr>
            <w:tcW w:w="8854" w:type="dxa"/>
          </w:tcPr>
          <w:p w14:paraId="2DD55D37" w14:textId="634FC2AB" w:rsidR="00507523" w:rsidRPr="00E4790F" w:rsidRDefault="00507523" w:rsidP="00507523">
            <w:pPr>
              <w:pStyle w:val="BodyText"/>
              <w:spacing w:before="140"/>
              <w:ind w:left="136"/>
              <w:rPr>
                <w:b/>
              </w:rPr>
            </w:pPr>
            <w:r w:rsidRPr="00E4790F">
              <w:rPr>
                <w:b/>
              </w:rPr>
              <w:t>Descriptive</w:t>
            </w:r>
            <w:r w:rsidR="006818BC">
              <w:rPr>
                <w:b/>
              </w:rPr>
              <w:t xml:space="preserve"> summary of </w:t>
            </w:r>
            <w:r w:rsidR="00FC0BE1">
              <w:rPr>
                <w:b/>
              </w:rPr>
              <w:t xml:space="preserve">how the entity was impacted by pandemic and </w:t>
            </w:r>
            <w:r w:rsidR="006818BC">
              <w:rPr>
                <w:b/>
              </w:rPr>
              <w:t>how the funds will be</w:t>
            </w:r>
            <w:r w:rsidRPr="00E4790F">
              <w:rPr>
                <w:b/>
              </w:rPr>
              <w:t xml:space="preserve"> used</w:t>
            </w:r>
            <w:r w:rsidR="00FC0BE1">
              <w:rPr>
                <w:b/>
              </w:rPr>
              <w:t xml:space="preserve"> as a response to the impact</w:t>
            </w:r>
            <w:r w:rsidRPr="00E4790F">
              <w:rPr>
                <w:b/>
              </w:rPr>
              <w:t xml:space="preserve">, including specific deliverables </w:t>
            </w:r>
            <w:r w:rsidR="006818BC">
              <w:rPr>
                <w:b/>
              </w:rPr>
              <w:t>to be a</w:t>
            </w:r>
            <w:r w:rsidRPr="00E4790F">
              <w:rPr>
                <w:b/>
              </w:rPr>
              <w:t>chieved, and progress against objectives and outcomes expected to be achieved.</w:t>
            </w:r>
            <w:r w:rsidR="000F30A1" w:rsidRPr="00E4790F">
              <w:rPr>
                <w:b/>
              </w:rPr>
              <w:t xml:space="preserve">  </w:t>
            </w:r>
            <w:r w:rsidR="00CE0E6C" w:rsidRPr="003D0523">
              <w:rPr>
                <w:b/>
              </w:rPr>
              <w:t>The summary should include p</w:t>
            </w:r>
            <w:r w:rsidR="00FC0BE1">
              <w:rPr>
                <w:b/>
              </w:rPr>
              <w:t xml:space="preserve">roject description, type of project, project map, estimate of the population served by the projects, estimated project cost, estimated project schedule and readiness to proceed.  </w:t>
            </w:r>
            <w:r w:rsidR="000F30A1" w:rsidRPr="00E4790F">
              <w:rPr>
                <w:b/>
              </w:rPr>
              <w:t>Please attach additional pages if needed.</w:t>
            </w:r>
            <w:r w:rsidR="00FC0BE1">
              <w:rPr>
                <w:b/>
              </w:rPr>
              <w:t xml:space="preserve">  </w:t>
            </w:r>
          </w:p>
          <w:p w14:paraId="6D65DE6B" w14:textId="77777777" w:rsidR="00507523" w:rsidRDefault="00507523" w:rsidP="00507523">
            <w:pPr>
              <w:pStyle w:val="BodyText"/>
              <w:spacing w:before="140"/>
              <w:ind w:left="136"/>
              <w:rPr>
                <w:b/>
              </w:rPr>
            </w:pPr>
          </w:p>
          <w:p w14:paraId="7812AE19" w14:textId="77777777" w:rsidR="00FC0BE1" w:rsidRDefault="00FC0BE1" w:rsidP="00507523">
            <w:pPr>
              <w:pStyle w:val="BodyText"/>
              <w:spacing w:before="140"/>
              <w:ind w:left="136"/>
              <w:rPr>
                <w:b/>
              </w:rPr>
            </w:pPr>
            <w:r>
              <w:rPr>
                <w:b/>
              </w:rPr>
              <w:t>IMPACT:</w:t>
            </w:r>
            <w:bookmarkStart w:id="1" w:name="_GoBack"/>
            <w:bookmarkEnd w:id="1"/>
          </w:p>
          <w:p w14:paraId="7FADDF67" w14:textId="77777777" w:rsidR="00FC0BE1" w:rsidRDefault="00FC0BE1" w:rsidP="00507523">
            <w:pPr>
              <w:pStyle w:val="BodyText"/>
              <w:spacing w:before="140"/>
              <w:ind w:left="136"/>
              <w:rPr>
                <w:b/>
              </w:rPr>
            </w:pPr>
          </w:p>
          <w:p w14:paraId="4C606907" w14:textId="77777777" w:rsidR="00FC0BE1" w:rsidRDefault="00FC0BE1" w:rsidP="00507523">
            <w:pPr>
              <w:pStyle w:val="BodyText"/>
              <w:spacing w:before="140"/>
              <w:ind w:left="136"/>
              <w:rPr>
                <w:b/>
              </w:rPr>
            </w:pPr>
          </w:p>
          <w:p w14:paraId="29AA2010" w14:textId="77777777" w:rsidR="00FC0BE1" w:rsidRDefault="00FC0BE1" w:rsidP="00507523">
            <w:pPr>
              <w:pStyle w:val="BodyText"/>
              <w:spacing w:before="140"/>
              <w:ind w:left="136"/>
              <w:rPr>
                <w:b/>
              </w:rPr>
            </w:pPr>
          </w:p>
          <w:p w14:paraId="7E9CDC93" w14:textId="77777777" w:rsidR="00FC0BE1" w:rsidRDefault="00FC0BE1" w:rsidP="00507523">
            <w:pPr>
              <w:pStyle w:val="BodyText"/>
              <w:spacing w:before="140"/>
              <w:ind w:left="136"/>
              <w:rPr>
                <w:b/>
              </w:rPr>
            </w:pPr>
          </w:p>
          <w:p w14:paraId="62C700A4" w14:textId="77777777" w:rsidR="00FC0BE1" w:rsidRDefault="00FC0BE1" w:rsidP="00507523">
            <w:pPr>
              <w:pStyle w:val="BodyText"/>
              <w:spacing w:before="140"/>
              <w:ind w:left="136"/>
              <w:rPr>
                <w:b/>
              </w:rPr>
            </w:pPr>
          </w:p>
          <w:p w14:paraId="07707C8E" w14:textId="77777777" w:rsidR="00FC0BE1" w:rsidRDefault="00FC0BE1" w:rsidP="00507523">
            <w:pPr>
              <w:pStyle w:val="BodyText"/>
              <w:spacing w:before="140"/>
              <w:ind w:left="136"/>
              <w:rPr>
                <w:b/>
              </w:rPr>
            </w:pPr>
          </w:p>
          <w:p w14:paraId="0167196C" w14:textId="77777777" w:rsidR="00507523" w:rsidRPr="00E4790F" w:rsidRDefault="00507523" w:rsidP="00507523">
            <w:pPr>
              <w:pStyle w:val="BodyText"/>
              <w:spacing w:before="140"/>
              <w:ind w:left="136"/>
              <w:rPr>
                <w:b/>
              </w:rPr>
            </w:pPr>
          </w:p>
          <w:p w14:paraId="6B4702CC" w14:textId="77777777" w:rsidR="00507523" w:rsidRPr="00E4790F" w:rsidRDefault="00507523" w:rsidP="00507523">
            <w:pPr>
              <w:pStyle w:val="BodyText"/>
              <w:spacing w:before="140"/>
              <w:ind w:left="136"/>
              <w:rPr>
                <w:b/>
              </w:rPr>
            </w:pPr>
          </w:p>
          <w:p w14:paraId="1E433FA7" w14:textId="77777777" w:rsidR="00507523" w:rsidRPr="00E4790F" w:rsidRDefault="00507523" w:rsidP="00507523">
            <w:pPr>
              <w:pStyle w:val="BodyText"/>
              <w:spacing w:before="140"/>
              <w:ind w:left="136"/>
              <w:rPr>
                <w:b/>
              </w:rPr>
            </w:pPr>
          </w:p>
          <w:p w14:paraId="14EDAC22" w14:textId="77777777" w:rsidR="00507523" w:rsidRDefault="00507523" w:rsidP="00507523">
            <w:pPr>
              <w:pStyle w:val="BodyText"/>
              <w:spacing w:before="140"/>
              <w:ind w:left="136"/>
              <w:rPr>
                <w:b/>
              </w:rPr>
            </w:pPr>
          </w:p>
          <w:p w14:paraId="7CF14C3F" w14:textId="77777777" w:rsidR="00E4790F" w:rsidRPr="00E4790F" w:rsidRDefault="00E4790F" w:rsidP="00507523">
            <w:pPr>
              <w:pStyle w:val="BodyText"/>
              <w:spacing w:before="140"/>
              <w:ind w:left="136"/>
              <w:rPr>
                <w:b/>
              </w:rPr>
            </w:pPr>
          </w:p>
          <w:p w14:paraId="5006FA0E" w14:textId="77777777" w:rsidR="00507523" w:rsidRPr="00E4790F" w:rsidRDefault="00507523" w:rsidP="00507523">
            <w:pPr>
              <w:pStyle w:val="BodyText"/>
              <w:spacing w:before="140"/>
              <w:ind w:left="136"/>
              <w:rPr>
                <w:b/>
              </w:rPr>
            </w:pPr>
          </w:p>
          <w:p w14:paraId="6F0E4B6F" w14:textId="77777777" w:rsidR="00FC0BE1" w:rsidRPr="00E4790F" w:rsidRDefault="00FC0BE1" w:rsidP="00FC0BE1">
            <w:pPr>
              <w:pStyle w:val="BodyText"/>
              <w:spacing w:before="140"/>
              <w:ind w:left="136"/>
              <w:rPr>
                <w:b/>
              </w:rPr>
            </w:pPr>
            <w:r>
              <w:rPr>
                <w:b/>
              </w:rPr>
              <w:lastRenderedPageBreak/>
              <w:t>RESPONSE:</w:t>
            </w:r>
          </w:p>
          <w:p w14:paraId="1270DFF5" w14:textId="77777777" w:rsidR="000F30A1" w:rsidRPr="00E4790F" w:rsidRDefault="000F30A1" w:rsidP="00507523">
            <w:pPr>
              <w:pStyle w:val="BodyText"/>
              <w:spacing w:before="140"/>
              <w:ind w:left="136"/>
              <w:rPr>
                <w:b/>
              </w:rPr>
            </w:pPr>
          </w:p>
          <w:p w14:paraId="0F4C6C95" w14:textId="77777777" w:rsidR="000F30A1" w:rsidRDefault="000F30A1" w:rsidP="00507523">
            <w:pPr>
              <w:pStyle w:val="BodyText"/>
              <w:spacing w:before="140"/>
              <w:ind w:left="136"/>
              <w:rPr>
                <w:b/>
              </w:rPr>
            </w:pPr>
          </w:p>
          <w:p w14:paraId="01EE5AE9" w14:textId="77777777" w:rsidR="005E73C2" w:rsidRDefault="005E73C2" w:rsidP="00507523">
            <w:pPr>
              <w:pStyle w:val="BodyText"/>
              <w:spacing w:before="140"/>
              <w:ind w:left="136"/>
              <w:rPr>
                <w:b/>
              </w:rPr>
            </w:pPr>
          </w:p>
          <w:p w14:paraId="30225AC3" w14:textId="77777777" w:rsidR="005E73C2" w:rsidRDefault="005E73C2" w:rsidP="00507523">
            <w:pPr>
              <w:pStyle w:val="BodyText"/>
              <w:spacing w:before="140"/>
              <w:ind w:left="136"/>
              <w:rPr>
                <w:b/>
              </w:rPr>
            </w:pPr>
          </w:p>
          <w:p w14:paraId="3100B493" w14:textId="77777777" w:rsidR="00F972B5" w:rsidRPr="00E4790F" w:rsidRDefault="00F972B5" w:rsidP="00507523">
            <w:pPr>
              <w:pStyle w:val="BodyText"/>
              <w:spacing w:before="140"/>
              <w:ind w:left="136"/>
              <w:rPr>
                <w:b/>
              </w:rPr>
            </w:pPr>
          </w:p>
          <w:p w14:paraId="031C2BB2" w14:textId="77777777" w:rsidR="000F30A1" w:rsidRPr="00E4790F" w:rsidRDefault="000F30A1" w:rsidP="00507523">
            <w:pPr>
              <w:pStyle w:val="BodyText"/>
              <w:spacing w:before="140"/>
              <w:ind w:left="136"/>
              <w:rPr>
                <w:b/>
              </w:rPr>
            </w:pPr>
          </w:p>
          <w:p w14:paraId="6AC4F94B" w14:textId="77777777" w:rsidR="000F30A1" w:rsidRPr="00E4790F" w:rsidRDefault="000F30A1" w:rsidP="00507523">
            <w:pPr>
              <w:pStyle w:val="BodyText"/>
              <w:spacing w:before="140"/>
              <w:ind w:left="136"/>
              <w:rPr>
                <w:b/>
              </w:rPr>
            </w:pPr>
          </w:p>
        </w:tc>
      </w:tr>
    </w:tbl>
    <w:p w14:paraId="114647C0" w14:textId="77777777" w:rsidR="002009D2" w:rsidRDefault="002009D2" w:rsidP="002009D2">
      <w:pPr>
        <w:pStyle w:val="BodyText"/>
        <w:spacing w:before="140"/>
        <w:ind w:left="496"/>
        <w:jc w:val="both"/>
        <w:rPr>
          <w:b/>
        </w:rPr>
      </w:pPr>
    </w:p>
    <w:p w14:paraId="503B3FA8" w14:textId="77777777" w:rsidR="000F30A1" w:rsidRDefault="006818BC" w:rsidP="00E4790F">
      <w:pPr>
        <w:pStyle w:val="BodyText"/>
        <w:numPr>
          <w:ilvl w:val="0"/>
          <w:numId w:val="3"/>
        </w:numPr>
        <w:spacing w:before="140"/>
        <w:jc w:val="both"/>
        <w:rPr>
          <w:b/>
        </w:rPr>
      </w:pPr>
      <w:r>
        <w:rPr>
          <w:b/>
        </w:rPr>
        <w:t>Financial Budget: The b</w:t>
      </w:r>
      <w:r w:rsidR="000F30A1" w:rsidRPr="00E4790F">
        <w:rPr>
          <w:b/>
        </w:rPr>
        <w:t xml:space="preserve">udget costs </w:t>
      </w:r>
      <w:r w:rsidR="002361D6">
        <w:rPr>
          <w:b/>
        </w:rPr>
        <w:t>of the project.</w:t>
      </w:r>
      <w:r w:rsidR="000F30A1" w:rsidRPr="00E4790F">
        <w:rPr>
          <w:b/>
        </w:rPr>
        <w:t xml:space="preserve"> </w:t>
      </w:r>
    </w:p>
    <w:p w14:paraId="0C05DEA2" w14:textId="77777777" w:rsidR="006818BC" w:rsidRPr="006D5A6E" w:rsidRDefault="006818BC" w:rsidP="00547B2C">
      <w:pPr>
        <w:pStyle w:val="BodyText"/>
        <w:ind w:left="490"/>
        <w:jc w:val="both"/>
      </w:pPr>
    </w:p>
    <w:tbl>
      <w:tblPr>
        <w:tblStyle w:val="TableGrid"/>
        <w:tblW w:w="0" w:type="auto"/>
        <w:tblInd w:w="496" w:type="dxa"/>
        <w:tblLook w:val="04A0" w:firstRow="1" w:lastRow="0" w:firstColumn="1" w:lastColumn="0" w:noHBand="0" w:noVBand="1"/>
      </w:tblPr>
      <w:tblGrid>
        <w:gridCol w:w="2106"/>
        <w:gridCol w:w="1283"/>
        <w:gridCol w:w="1218"/>
        <w:gridCol w:w="1462"/>
        <w:gridCol w:w="1238"/>
        <w:gridCol w:w="1547"/>
      </w:tblGrid>
      <w:tr w:rsidR="00FC0BE1" w:rsidRPr="00E4790F" w14:paraId="432F4520" w14:textId="77777777" w:rsidTr="00FC0BE1">
        <w:tc>
          <w:tcPr>
            <w:tcW w:w="2106" w:type="dxa"/>
            <w:shd w:val="clear" w:color="auto" w:fill="BFBFBF" w:themeFill="background1" w:themeFillShade="BF"/>
          </w:tcPr>
          <w:p w14:paraId="583AB515" w14:textId="77777777" w:rsidR="00FC0BE1" w:rsidRPr="00FC0BE1" w:rsidRDefault="00FC0BE1" w:rsidP="00216EA4">
            <w:pPr>
              <w:pStyle w:val="BodyText"/>
              <w:spacing w:before="140"/>
              <w:jc w:val="both"/>
              <w:rPr>
                <w:b/>
              </w:rPr>
            </w:pPr>
            <w:r w:rsidRPr="00FC0BE1">
              <w:rPr>
                <w:b/>
              </w:rPr>
              <w:t>Budget category</w:t>
            </w:r>
          </w:p>
        </w:tc>
        <w:tc>
          <w:tcPr>
            <w:tcW w:w="1283" w:type="dxa"/>
            <w:shd w:val="clear" w:color="auto" w:fill="BFBFBF" w:themeFill="background1" w:themeFillShade="BF"/>
          </w:tcPr>
          <w:p w14:paraId="5F41C45D" w14:textId="77777777" w:rsidR="00FC0BE1" w:rsidRPr="00E4790F" w:rsidRDefault="00FC0BE1" w:rsidP="00216EA4">
            <w:pPr>
              <w:pStyle w:val="BodyText"/>
              <w:spacing w:before="140"/>
              <w:jc w:val="both"/>
              <w:rPr>
                <w:b/>
              </w:rPr>
            </w:pPr>
            <w:r>
              <w:rPr>
                <w:b/>
              </w:rPr>
              <w:t>Water</w:t>
            </w:r>
          </w:p>
        </w:tc>
        <w:tc>
          <w:tcPr>
            <w:tcW w:w="1218" w:type="dxa"/>
            <w:shd w:val="clear" w:color="auto" w:fill="BFBFBF" w:themeFill="background1" w:themeFillShade="BF"/>
          </w:tcPr>
          <w:p w14:paraId="7917068A" w14:textId="77777777" w:rsidR="00FC0BE1" w:rsidRDefault="00FC0BE1" w:rsidP="00216EA4">
            <w:pPr>
              <w:pStyle w:val="BodyText"/>
              <w:spacing w:before="140"/>
              <w:jc w:val="both"/>
              <w:rPr>
                <w:b/>
              </w:rPr>
            </w:pPr>
            <w:r>
              <w:rPr>
                <w:b/>
              </w:rPr>
              <w:t>Sewer</w:t>
            </w:r>
          </w:p>
        </w:tc>
        <w:tc>
          <w:tcPr>
            <w:tcW w:w="1462" w:type="dxa"/>
            <w:shd w:val="clear" w:color="auto" w:fill="BFBFBF" w:themeFill="background1" w:themeFillShade="BF"/>
          </w:tcPr>
          <w:p w14:paraId="0362C569" w14:textId="77777777" w:rsidR="00FC0BE1" w:rsidRDefault="00FC0BE1" w:rsidP="00216EA4">
            <w:pPr>
              <w:pStyle w:val="BodyText"/>
              <w:spacing w:before="140"/>
              <w:jc w:val="both"/>
              <w:rPr>
                <w:b/>
              </w:rPr>
            </w:pPr>
            <w:r>
              <w:rPr>
                <w:b/>
              </w:rPr>
              <w:t>Broadband</w:t>
            </w:r>
          </w:p>
        </w:tc>
        <w:tc>
          <w:tcPr>
            <w:tcW w:w="1238" w:type="dxa"/>
            <w:shd w:val="clear" w:color="auto" w:fill="BFBFBF" w:themeFill="background1" w:themeFillShade="BF"/>
          </w:tcPr>
          <w:p w14:paraId="7F3C088F" w14:textId="77777777" w:rsidR="00FC0BE1" w:rsidRDefault="00FC0BE1" w:rsidP="00216EA4">
            <w:pPr>
              <w:pStyle w:val="BodyText"/>
              <w:spacing w:before="140"/>
              <w:jc w:val="both"/>
              <w:rPr>
                <w:b/>
              </w:rPr>
            </w:pPr>
            <w:r>
              <w:rPr>
                <w:b/>
              </w:rPr>
              <w:t>HVAC</w:t>
            </w:r>
          </w:p>
        </w:tc>
        <w:tc>
          <w:tcPr>
            <w:tcW w:w="1547" w:type="dxa"/>
            <w:shd w:val="clear" w:color="auto" w:fill="BFBFBF" w:themeFill="background1" w:themeFillShade="BF"/>
          </w:tcPr>
          <w:p w14:paraId="3D2157BA" w14:textId="77777777" w:rsidR="00FC0BE1" w:rsidRDefault="00FC0BE1" w:rsidP="00216EA4">
            <w:pPr>
              <w:pStyle w:val="BodyText"/>
              <w:spacing w:before="140"/>
              <w:jc w:val="both"/>
              <w:rPr>
                <w:b/>
              </w:rPr>
            </w:pPr>
            <w:r>
              <w:rPr>
                <w:b/>
              </w:rPr>
              <w:t>Other</w:t>
            </w:r>
          </w:p>
        </w:tc>
      </w:tr>
      <w:tr w:rsidR="00FC0BE1" w:rsidRPr="00E4790F" w14:paraId="1B271E99" w14:textId="77777777" w:rsidTr="00FC0BE1">
        <w:tc>
          <w:tcPr>
            <w:tcW w:w="2106" w:type="dxa"/>
          </w:tcPr>
          <w:p w14:paraId="077BAC34" w14:textId="77777777" w:rsidR="00FC0BE1" w:rsidRPr="00FC0BE1" w:rsidRDefault="00FC0BE1" w:rsidP="00216EA4">
            <w:pPr>
              <w:pStyle w:val="BodyText"/>
              <w:spacing w:before="140"/>
              <w:jc w:val="both"/>
              <w:rPr>
                <w:b/>
                <w:color w:val="FF0000"/>
              </w:rPr>
            </w:pPr>
            <w:r w:rsidRPr="00FC0BE1">
              <w:t>Project description</w:t>
            </w:r>
            <w:r w:rsidRPr="00FC0BE1">
              <w:rPr>
                <w:color w:val="1F497D"/>
              </w:rPr>
              <w:t> </w:t>
            </w:r>
          </w:p>
        </w:tc>
        <w:tc>
          <w:tcPr>
            <w:tcW w:w="1283" w:type="dxa"/>
          </w:tcPr>
          <w:p w14:paraId="2E89F69F" w14:textId="77777777" w:rsidR="00FC0BE1" w:rsidRPr="00E4790F" w:rsidRDefault="00FC0BE1" w:rsidP="00216EA4">
            <w:pPr>
              <w:pStyle w:val="BodyText"/>
              <w:spacing w:before="140"/>
              <w:jc w:val="both"/>
              <w:rPr>
                <w:b/>
              </w:rPr>
            </w:pPr>
          </w:p>
        </w:tc>
        <w:tc>
          <w:tcPr>
            <w:tcW w:w="1218" w:type="dxa"/>
          </w:tcPr>
          <w:p w14:paraId="7DC70048" w14:textId="77777777" w:rsidR="00FC0BE1" w:rsidRPr="00E4790F" w:rsidRDefault="00FC0BE1" w:rsidP="00216EA4">
            <w:pPr>
              <w:pStyle w:val="BodyText"/>
              <w:spacing w:before="140"/>
              <w:jc w:val="both"/>
              <w:rPr>
                <w:b/>
              </w:rPr>
            </w:pPr>
          </w:p>
        </w:tc>
        <w:tc>
          <w:tcPr>
            <w:tcW w:w="1462" w:type="dxa"/>
          </w:tcPr>
          <w:p w14:paraId="5662D825" w14:textId="77777777" w:rsidR="00FC0BE1" w:rsidRPr="00E4790F" w:rsidRDefault="00FC0BE1" w:rsidP="00216EA4">
            <w:pPr>
              <w:pStyle w:val="BodyText"/>
              <w:spacing w:before="140"/>
              <w:jc w:val="both"/>
              <w:rPr>
                <w:b/>
              </w:rPr>
            </w:pPr>
          </w:p>
        </w:tc>
        <w:tc>
          <w:tcPr>
            <w:tcW w:w="1238" w:type="dxa"/>
          </w:tcPr>
          <w:p w14:paraId="290AE560" w14:textId="77777777" w:rsidR="00FC0BE1" w:rsidRPr="00E4790F" w:rsidRDefault="00FC0BE1" w:rsidP="00216EA4">
            <w:pPr>
              <w:pStyle w:val="BodyText"/>
              <w:spacing w:before="140"/>
              <w:jc w:val="both"/>
              <w:rPr>
                <w:b/>
              </w:rPr>
            </w:pPr>
          </w:p>
        </w:tc>
        <w:tc>
          <w:tcPr>
            <w:tcW w:w="1547" w:type="dxa"/>
          </w:tcPr>
          <w:p w14:paraId="220E56DD" w14:textId="77777777" w:rsidR="00FC0BE1" w:rsidRPr="00E4790F" w:rsidRDefault="00FC0BE1" w:rsidP="00216EA4">
            <w:pPr>
              <w:pStyle w:val="BodyText"/>
              <w:spacing w:before="140"/>
              <w:jc w:val="both"/>
              <w:rPr>
                <w:b/>
              </w:rPr>
            </w:pPr>
          </w:p>
        </w:tc>
      </w:tr>
      <w:tr w:rsidR="00FC0BE1" w:rsidRPr="00E4790F" w14:paraId="4CA1642D" w14:textId="77777777" w:rsidTr="00FC0BE1">
        <w:tc>
          <w:tcPr>
            <w:tcW w:w="2106" w:type="dxa"/>
          </w:tcPr>
          <w:p w14:paraId="46CDA3E8" w14:textId="77777777" w:rsidR="00FC0BE1" w:rsidRPr="00FC0BE1" w:rsidRDefault="00FC0BE1" w:rsidP="00BD6FEB">
            <w:pPr>
              <w:pStyle w:val="BodyText"/>
              <w:spacing w:before="140"/>
              <w:jc w:val="both"/>
              <w:rPr>
                <w:b/>
                <w:color w:val="FF0000"/>
              </w:rPr>
            </w:pPr>
            <w:r w:rsidRPr="00FC0BE1">
              <w:t>Type of project</w:t>
            </w:r>
            <w:r w:rsidRPr="00FC0BE1">
              <w:rPr>
                <w:color w:val="1F497D"/>
              </w:rPr>
              <w:t> </w:t>
            </w:r>
          </w:p>
        </w:tc>
        <w:tc>
          <w:tcPr>
            <w:tcW w:w="1283" w:type="dxa"/>
          </w:tcPr>
          <w:p w14:paraId="5A15CA54" w14:textId="77777777" w:rsidR="00FC0BE1" w:rsidRPr="00E4790F" w:rsidRDefault="00FC0BE1" w:rsidP="00BD6FEB">
            <w:pPr>
              <w:pStyle w:val="BodyText"/>
              <w:spacing w:before="140"/>
              <w:jc w:val="both"/>
              <w:rPr>
                <w:b/>
              </w:rPr>
            </w:pPr>
          </w:p>
        </w:tc>
        <w:tc>
          <w:tcPr>
            <w:tcW w:w="1218" w:type="dxa"/>
          </w:tcPr>
          <w:p w14:paraId="10FFEA8F" w14:textId="77777777" w:rsidR="00FC0BE1" w:rsidRPr="00E4790F" w:rsidRDefault="00FC0BE1" w:rsidP="00BD6FEB">
            <w:pPr>
              <w:pStyle w:val="BodyText"/>
              <w:spacing w:before="140"/>
              <w:jc w:val="both"/>
              <w:rPr>
                <w:b/>
              </w:rPr>
            </w:pPr>
          </w:p>
        </w:tc>
        <w:tc>
          <w:tcPr>
            <w:tcW w:w="1462" w:type="dxa"/>
          </w:tcPr>
          <w:p w14:paraId="44D634F5" w14:textId="77777777" w:rsidR="00FC0BE1" w:rsidRPr="00E4790F" w:rsidRDefault="00FC0BE1" w:rsidP="00BD6FEB">
            <w:pPr>
              <w:pStyle w:val="BodyText"/>
              <w:spacing w:before="140"/>
              <w:jc w:val="both"/>
              <w:rPr>
                <w:b/>
              </w:rPr>
            </w:pPr>
          </w:p>
        </w:tc>
        <w:tc>
          <w:tcPr>
            <w:tcW w:w="1238" w:type="dxa"/>
          </w:tcPr>
          <w:p w14:paraId="68BA8001" w14:textId="77777777" w:rsidR="00FC0BE1" w:rsidRPr="00E4790F" w:rsidRDefault="00FC0BE1" w:rsidP="00BD6FEB">
            <w:pPr>
              <w:pStyle w:val="BodyText"/>
              <w:spacing w:before="140"/>
              <w:jc w:val="both"/>
              <w:rPr>
                <w:b/>
              </w:rPr>
            </w:pPr>
          </w:p>
        </w:tc>
        <w:tc>
          <w:tcPr>
            <w:tcW w:w="1547" w:type="dxa"/>
          </w:tcPr>
          <w:p w14:paraId="55CDA0DF" w14:textId="77777777" w:rsidR="00FC0BE1" w:rsidRPr="00E4790F" w:rsidRDefault="00FC0BE1" w:rsidP="00BD6FEB">
            <w:pPr>
              <w:pStyle w:val="BodyText"/>
              <w:spacing w:before="140"/>
              <w:jc w:val="both"/>
              <w:rPr>
                <w:b/>
              </w:rPr>
            </w:pPr>
          </w:p>
        </w:tc>
      </w:tr>
      <w:tr w:rsidR="00FC0BE1" w:rsidRPr="00E4790F" w14:paraId="24BFA4FC" w14:textId="77777777" w:rsidTr="00FC0BE1">
        <w:tc>
          <w:tcPr>
            <w:tcW w:w="2106" w:type="dxa"/>
          </w:tcPr>
          <w:p w14:paraId="668CF207" w14:textId="77777777" w:rsidR="00FC0BE1" w:rsidRPr="00FC0BE1" w:rsidRDefault="00FC0BE1" w:rsidP="00BD6FEB">
            <w:pPr>
              <w:pStyle w:val="BodyText"/>
              <w:spacing w:before="140"/>
              <w:jc w:val="both"/>
              <w:rPr>
                <w:b/>
                <w:color w:val="FF0000"/>
              </w:rPr>
            </w:pPr>
            <w:r w:rsidRPr="00FC0BE1">
              <w:t>Project map</w:t>
            </w:r>
          </w:p>
        </w:tc>
        <w:tc>
          <w:tcPr>
            <w:tcW w:w="1283" w:type="dxa"/>
          </w:tcPr>
          <w:p w14:paraId="482DF506" w14:textId="77777777" w:rsidR="00FC0BE1" w:rsidRPr="00E4790F" w:rsidRDefault="00FC0BE1" w:rsidP="00BD6FEB">
            <w:pPr>
              <w:pStyle w:val="BodyText"/>
              <w:spacing w:before="140"/>
              <w:jc w:val="both"/>
              <w:rPr>
                <w:b/>
              </w:rPr>
            </w:pPr>
          </w:p>
        </w:tc>
        <w:tc>
          <w:tcPr>
            <w:tcW w:w="1218" w:type="dxa"/>
          </w:tcPr>
          <w:p w14:paraId="261DB209" w14:textId="77777777" w:rsidR="00FC0BE1" w:rsidRPr="00E4790F" w:rsidRDefault="00FC0BE1" w:rsidP="00BD6FEB">
            <w:pPr>
              <w:pStyle w:val="BodyText"/>
              <w:spacing w:before="140"/>
              <w:jc w:val="both"/>
              <w:rPr>
                <w:b/>
              </w:rPr>
            </w:pPr>
          </w:p>
        </w:tc>
        <w:tc>
          <w:tcPr>
            <w:tcW w:w="1462" w:type="dxa"/>
          </w:tcPr>
          <w:p w14:paraId="5C43C85A" w14:textId="77777777" w:rsidR="00FC0BE1" w:rsidRPr="00E4790F" w:rsidRDefault="00FC0BE1" w:rsidP="00BD6FEB">
            <w:pPr>
              <w:pStyle w:val="BodyText"/>
              <w:spacing w:before="140"/>
              <w:jc w:val="both"/>
              <w:rPr>
                <w:b/>
              </w:rPr>
            </w:pPr>
          </w:p>
        </w:tc>
        <w:tc>
          <w:tcPr>
            <w:tcW w:w="1238" w:type="dxa"/>
          </w:tcPr>
          <w:p w14:paraId="2F6A10AB" w14:textId="77777777" w:rsidR="00FC0BE1" w:rsidRPr="00E4790F" w:rsidRDefault="00FC0BE1" w:rsidP="00BD6FEB">
            <w:pPr>
              <w:pStyle w:val="BodyText"/>
              <w:spacing w:before="140"/>
              <w:jc w:val="both"/>
              <w:rPr>
                <w:b/>
              </w:rPr>
            </w:pPr>
          </w:p>
        </w:tc>
        <w:tc>
          <w:tcPr>
            <w:tcW w:w="1547" w:type="dxa"/>
          </w:tcPr>
          <w:p w14:paraId="130E4026" w14:textId="77777777" w:rsidR="00FC0BE1" w:rsidRPr="00E4790F" w:rsidRDefault="00FC0BE1" w:rsidP="00BD6FEB">
            <w:pPr>
              <w:pStyle w:val="BodyText"/>
              <w:spacing w:before="140"/>
              <w:jc w:val="both"/>
              <w:rPr>
                <w:b/>
              </w:rPr>
            </w:pPr>
          </w:p>
        </w:tc>
      </w:tr>
      <w:tr w:rsidR="00FC0BE1" w:rsidRPr="00E4790F" w14:paraId="016B40A0" w14:textId="77777777" w:rsidTr="00FC0BE1">
        <w:tc>
          <w:tcPr>
            <w:tcW w:w="2106" w:type="dxa"/>
          </w:tcPr>
          <w:p w14:paraId="67290D58" w14:textId="77777777" w:rsidR="00FC0BE1" w:rsidRPr="00FC0BE1" w:rsidRDefault="00FC0BE1" w:rsidP="00BD6FEB">
            <w:pPr>
              <w:pStyle w:val="BodyText"/>
              <w:spacing w:before="140"/>
              <w:jc w:val="both"/>
              <w:rPr>
                <w:b/>
                <w:color w:val="FF0000"/>
              </w:rPr>
            </w:pPr>
            <w:r w:rsidRPr="00FC0BE1">
              <w:t>Estimate of the population served by the project</w:t>
            </w:r>
          </w:p>
        </w:tc>
        <w:tc>
          <w:tcPr>
            <w:tcW w:w="1283" w:type="dxa"/>
          </w:tcPr>
          <w:p w14:paraId="2CF1D2D8" w14:textId="77777777" w:rsidR="00FC0BE1" w:rsidRPr="00E4790F" w:rsidRDefault="00FC0BE1" w:rsidP="00BD6FEB">
            <w:pPr>
              <w:pStyle w:val="BodyText"/>
              <w:spacing w:before="140"/>
              <w:jc w:val="both"/>
              <w:rPr>
                <w:b/>
              </w:rPr>
            </w:pPr>
          </w:p>
        </w:tc>
        <w:tc>
          <w:tcPr>
            <w:tcW w:w="1218" w:type="dxa"/>
          </w:tcPr>
          <w:p w14:paraId="54327532" w14:textId="77777777" w:rsidR="00FC0BE1" w:rsidRPr="00E4790F" w:rsidRDefault="00FC0BE1" w:rsidP="00BD6FEB">
            <w:pPr>
              <w:pStyle w:val="BodyText"/>
              <w:spacing w:before="140"/>
              <w:jc w:val="both"/>
              <w:rPr>
                <w:b/>
              </w:rPr>
            </w:pPr>
          </w:p>
        </w:tc>
        <w:tc>
          <w:tcPr>
            <w:tcW w:w="1462" w:type="dxa"/>
          </w:tcPr>
          <w:p w14:paraId="2EC6D901" w14:textId="77777777" w:rsidR="00FC0BE1" w:rsidRPr="00E4790F" w:rsidRDefault="00FC0BE1" w:rsidP="00BD6FEB">
            <w:pPr>
              <w:pStyle w:val="BodyText"/>
              <w:spacing w:before="140"/>
              <w:jc w:val="both"/>
              <w:rPr>
                <w:b/>
              </w:rPr>
            </w:pPr>
          </w:p>
        </w:tc>
        <w:tc>
          <w:tcPr>
            <w:tcW w:w="1238" w:type="dxa"/>
          </w:tcPr>
          <w:p w14:paraId="1D7FCD0A" w14:textId="77777777" w:rsidR="00FC0BE1" w:rsidRPr="00E4790F" w:rsidRDefault="00FC0BE1" w:rsidP="00BD6FEB">
            <w:pPr>
              <w:pStyle w:val="BodyText"/>
              <w:spacing w:before="140"/>
              <w:jc w:val="both"/>
              <w:rPr>
                <w:b/>
              </w:rPr>
            </w:pPr>
          </w:p>
        </w:tc>
        <w:tc>
          <w:tcPr>
            <w:tcW w:w="1547" w:type="dxa"/>
          </w:tcPr>
          <w:p w14:paraId="4AE9ABA9" w14:textId="77777777" w:rsidR="00FC0BE1" w:rsidRPr="00E4790F" w:rsidRDefault="00FC0BE1" w:rsidP="00BD6FEB">
            <w:pPr>
              <w:pStyle w:val="BodyText"/>
              <w:spacing w:before="140"/>
              <w:jc w:val="both"/>
              <w:rPr>
                <w:b/>
              </w:rPr>
            </w:pPr>
          </w:p>
        </w:tc>
      </w:tr>
      <w:tr w:rsidR="00FC0BE1" w:rsidRPr="00E4790F" w14:paraId="1A29DAB2" w14:textId="77777777" w:rsidTr="00FC0BE1">
        <w:tc>
          <w:tcPr>
            <w:tcW w:w="2106" w:type="dxa"/>
          </w:tcPr>
          <w:p w14:paraId="0A9ADF85" w14:textId="77777777" w:rsidR="00FC0BE1" w:rsidRPr="00FC0BE1" w:rsidRDefault="00FC0BE1" w:rsidP="00BD6FEB">
            <w:pPr>
              <w:pStyle w:val="BodyText"/>
              <w:spacing w:before="140"/>
              <w:jc w:val="both"/>
              <w:rPr>
                <w:b/>
                <w:color w:val="FF0000"/>
              </w:rPr>
            </w:pPr>
            <w:r w:rsidRPr="00FC0BE1">
              <w:t>Estimate of project costs</w:t>
            </w:r>
          </w:p>
        </w:tc>
        <w:tc>
          <w:tcPr>
            <w:tcW w:w="1283" w:type="dxa"/>
          </w:tcPr>
          <w:p w14:paraId="727D96EE" w14:textId="77777777" w:rsidR="00FC0BE1" w:rsidRPr="00E4790F" w:rsidRDefault="00FC0BE1" w:rsidP="00BD6FEB">
            <w:pPr>
              <w:pStyle w:val="BodyText"/>
              <w:spacing w:before="140"/>
              <w:jc w:val="both"/>
              <w:rPr>
                <w:b/>
              </w:rPr>
            </w:pPr>
          </w:p>
        </w:tc>
        <w:tc>
          <w:tcPr>
            <w:tcW w:w="1218" w:type="dxa"/>
          </w:tcPr>
          <w:p w14:paraId="571414D8" w14:textId="77777777" w:rsidR="00FC0BE1" w:rsidRPr="00E4790F" w:rsidRDefault="00FC0BE1" w:rsidP="00BD6FEB">
            <w:pPr>
              <w:pStyle w:val="BodyText"/>
              <w:spacing w:before="140"/>
              <w:jc w:val="both"/>
              <w:rPr>
                <w:b/>
              </w:rPr>
            </w:pPr>
          </w:p>
        </w:tc>
        <w:tc>
          <w:tcPr>
            <w:tcW w:w="1462" w:type="dxa"/>
          </w:tcPr>
          <w:p w14:paraId="387085C0" w14:textId="77777777" w:rsidR="00FC0BE1" w:rsidRPr="00E4790F" w:rsidRDefault="00FC0BE1" w:rsidP="00BD6FEB">
            <w:pPr>
              <w:pStyle w:val="BodyText"/>
              <w:spacing w:before="140"/>
              <w:jc w:val="both"/>
              <w:rPr>
                <w:b/>
              </w:rPr>
            </w:pPr>
          </w:p>
        </w:tc>
        <w:tc>
          <w:tcPr>
            <w:tcW w:w="1238" w:type="dxa"/>
          </w:tcPr>
          <w:p w14:paraId="4FC7E413" w14:textId="77777777" w:rsidR="00FC0BE1" w:rsidRPr="00E4790F" w:rsidRDefault="00FC0BE1" w:rsidP="00BD6FEB">
            <w:pPr>
              <w:pStyle w:val="BodyText"/>
              <w:spacing w:before="140"/>
              <w:jc w:val="both"/>
              <w:rPr>
                <w:b/>
              </w:rPr>
            </w:pPr>
          </w:p>
        </w:tc>
        <w:tc>
          <w:tcPr>
            <w:tcW w:w="1547" w:type="dxa"/>
          </w:tcPr>
          <w:p w14:paraId="42859820" w14:textId="77777777" w:rsidR="00FC0BE1" w:rsidRPr="00E4790F" w:rsidRDefault="00FC0BE1" w:rsidP="00BD6FEB">
            <w:pPr>
              <w:pStyle w:val="BodyText"/>
              <w:spacing w:before="140"/>
              <w:jc w:val="both"/>
              <w:rPr>
                <w:b/>
              </w:rPr>
            </w:pPr>
          </w:p>
        </w:tc>
      </w:tr>
      <w:tr w:rsidR="00FC0BE1" w:rsidRPr="00E4790F" w14:paraId="5BF5F2E2" w14:textId="77777777" w:rsidTr="00FC0BE1">
        <w:tc>
          <w:tcPr>
            <w:tcW w:w="2106" w:type="dxa"/>
          </w:tcPr>
          <w:p w14:paraId="52B794B0" w14:textId="77777777" w:rsidR="00FC0BE1" w:rsidRPr="00FC0BE1" w:rsidRDefault="00FC0BE1" w:rsidP="00BD6FEB">
            <w:pPr>
              <w:pStyle w:val="BodyText"/>
              <w:spacing w:before="140"/>
              <w:jc w:val="both"/>
              <w:rPr>
                <w:b/>
                <w:color w:val="FF0000"/>
              </w:rPr>
            </w:pPr>
            <w:r w:rsidRPr="00FC0BE1">
              <w:t>Estimated project schedule</w:t>
            </w:r>
          </w:p>
        </w:tc>
        <w:tc>
          <w:tcPr>
            <w:tcW w:w="1283" w:type="dxa"/>
          </w:tcPr>
          <w:p w14:paraId="67CFFC5A" w14:textId="77777777" w:rsidR="00FC0BE1" w:rsidRPr="00E4790F" w:rsidRDefault="00FC0BE1" w:rsidP="00BD6FEB">
            <w:pPr>
              <w:pStyle w:val="BodyText"/>
              <w:spacing w:before="140"/>
              <w:jc w:val="both"/>
              <w:rPr>
                <w:b/>
              </w:rPr>
            </w:pPr>
          </w:p>
        </w:tc>
        <w:tc>
          <w:tcPr>
            <w:tcW w:w="1218" w:type="dxa"/>
          </w:tcPr>
          <w:p w14:paraId="3110EF6C" w14:textId="77777777" w:rsidR="00FC0BE1" w:rsidRPr="00E4790F" w:rsidRDefault="00FC0BE1" w:rsidP="00BD6FEB">
            <w:pPr>
              <w:pStyle w:val="BodyText"/>
              <w:spacing w:before="140"/>
              <w:jc w:val="both"/>
              <w:rPr>
                <w:b/>
              </w:rPr>
            </w:pPr>
          </w:p>
        </w:tc>
        <w:tc>
          <w:tcPr>
            <w:tcW w:w="1462" w:type="dxa"/>
          </w:tcPr>
          <w:p w14:paraId="71BDDD32" w14:textId="77777777" w:rsidR="00FC0BE1" w:rsidRPr="00E4790F" w:rsidRDefault="00FC0BE1" w:rsidP="00BD6FEB">
            <w:pPr>
              <w:pStyle w:val="BodyText"/>
              <w:spacing w:before="140"/>
              <w:jc w:val="both"/>
              <w:rPr>
                <w:b/>
              </w:rPr>
            </w:pPr>
          </w:p>
        </w:tc>
        <w:tc>
          <w:tcPr>
            <w:tcW w:w="1238" w:type="dxa"/>
          </w:tcPr>
          <w:p w14:paraId="1BDBB4A3" w14:textId="77777777" w:rsidR="00FC0BE1" w:rsidRPr="00E4790F" w:rsidRDefault="00FC0BE1" w:rsidP="00BD6FEB">
            <w:pPr>
              <w:pStyle w:val="BodyText"/>
              <w:spacing w:before="140"/>
              <w:jc w:val="both"/>
              <w:rPr>
                <w:b/>
              </w:rPr>
            </w:pPr>
          </w:p>
        </w:tc>
        <w:tc>
          <w:tcPr>
            <w:tcW w:w="1547" w:type="dxa"/>
          </w:tcPr>
          <w:p w14:paraId="56AD933A" w14:textId="77777777" w:rsidR="00FC0BE1" w:rsidRPr="00E4790F" w:rsidRDefault="00FC0BE1" w:rsidP="00BD6FEB">
            <w:pPr>
              <w:pStyle w:val="BodyText"/>
              <w:spacing w:before="140"/>
              <w:jc w:val="both"/>
              <w:rPr>
                <w:b/>
              </w:rPr>
            </w:pPr>
          </w:p>
        </w:tc>
      </w:tr>
      <w:tr w:rsidR="00FC0BE1" w:rsidRPr="00E4790F" w14:paraId="600FB485" w14:textId="77777777" w:rsidTr="00FC0BE1">
        <w:tc>
          <w:tcPr>
            <w:tcW w:w="2106" w:type="dxa"/>
          </w:tcPr>
          <w:p w14:paraId="0573A7A4" w14:textId="77777777" w:rsidR="00FC0BE1" w:rsidRPr="00FC0BE1" w:rsidRDefault="00FC0BE1" w:rsidP="00BD6FEB">
            <w:pPr>
              <w:pStyle w:val="BodyText"/>
              <w:spacing w:before="140"/>
              <w:rPr>
                <w:b/>
                <w:color w:val="FF0000"/>
              </w:rPr>
            </w:pPr>
            <w:r w:rsidRPr="00FC0BE1">
              <w:t>Readiness to proceed</w:t>
            </w:r>
          </w:p>
        </w:tc>
        <w:tc>
          <w:tcPr>
            <w:tcW w:w="1283" w:type="dxa"/>
          </w:tcPr>
          <w:p w14:paraId="40F2E265" w14:textId="77777777" w:rsidR="00FC0BE1" w:rsidRPr="00E4790F" w:rsidRDefault="00FC0BE1" w:rsidP="00BD6FEB">
            <w:pPr>
              <w:pStyle w:val="BodyText"/>
              <w:spacing w:before="140"/>
              <w:jc w:val="both"/>
              <w:rPr>
                <w:b/>
              </w:rPr>
            </w:pPr>
          </w:p>
        </w:tc>
        <w:tc>
          <w:tcPr>
            <w:tcW w:w="1218" w:type="dxa"/>
          </w:tcPr>
          <w:p w14:paraId="40E40FCA" w14:textId="77777777" w:rsidR="00FC0BE1" w:rsidRPr="00E4790F" w:rsidRDefault="00FC0BE1" w:rsidP="00BD6FEB">
            <w:pPr>
              <w:pStyle w:val="BodyText"/>
              <w:spacing w:before="140"/>
              <w:jc w:val="both"/>
              <w:rPr>
                <w:b/>
              </w:rPr>
            </w:pPr>
          </w:p>
        </w:tc>
        <w:tc>
          <w:tcPr>
            <w:tcW w:w="1462" w:type="dxa"/>
          </w:tcPr>
          <w:p w14:paraId="083E7CB9" w14:textId="77777777" w:rsidR="00FC0BE1" w:rsidRPr="00E4790F" w:rsidRDefault="00FC0BE1" w:rsidP="00BD6FEB">
            <w:pPr>
              <w:pStyle w:val="BodyText"/>
              <w:spacing w:before="140"/>
              <w:jc w:val="both"/>
              <w:rPr>
                <w:b/>
              </w:rPr>
            </w:pPr>
          </w:p>
        </w:tc>
        <w:tc>
          <w:tcPr>
            <w:tcW w:w="1238" w:type="dxa"/>
          </w:tcPr>
          <w:p w14:paraId="60436B7E" w14:textId="77777777" w:rsidR="00FC0BE1" w:rsidRPr="00E4790F" w:rsidRDefault="00FC0BE1" w:rsidP="00BD6FEB">
            <w:pPr>
              <w:pStyle w:val="BodyText"/>
              <w:spacing w:before="140"/>
              <w:jc w:val="both"/>
              <w:rPr>
                <w:b/>
              </w:rPr>
            </w:pPr>
          </w:p>
        </w:tc>
        <w:tc>
          <w:tcPr>
            <w:tcW w:w="1547" w:type="dxa"/>
          </w:tcPr>
          <w:p w14:paraId="157FBA03" w14:textId="77777777" w:rsidR="00FC0BE1" w:rsidRPr="00E4790F" w:rsidRDefault="00FC0BE1" w:rsidP="00BD6FEB">
            <w:pPr>
              <w:pStyle w:val="BodyText"/>
              <w:spacing w:before="140"/>
              <w:jc w:val="both"/>
              <w:rPr>
                <w:b/>
              </w:rPr>
            </w:pPr>
          </w:p>
        </w:tc>
      </w:tr>
      <w:tr w:rsidR="00FC0BE1" w:rsidRPr="00E4790F" w14:paraId="41609674" w14:textId="77777777" w:rsidTr="00FC0BE1">
        <w:tc>
          <w:tcPr>
            <w:tcW w:w="2106" w:type="dxa"/>
          </w:tcPr>
          <w:p w14:paraId="558D2B55" w14:textId="77777777" w:rsidR="00FC0BE1" w:rsidRPr="00FC0BE1" w:rsidRDefault="00FC0BE1" w:rsidP="00216EA4">
            <w:pPr>
              <w:pStyle w:val="BodyText"/>
              <w:spacing w:before="140"/>
              <w:jc w:val="both"/>
              <w:rPr>
                <w:b/>
              </w:rPr>
            </w:pPr>
            <w:r w:rsidRPr="00FC0BE1">
              <w:rPr>
                <w:b/>
              </w:rPr>
              <w:t>Total</w:t>
            </w:r>
          </w:p>
        </w:tc>
        <w:tc>
          <w:tcPr>
            <w:tcW w:w="1283" w:type="dxa"/>
          </w:tcPr>
          <w:p w14:paraId="23C42DA1" w14:textId="77777777" w:rsidR="00FC0BE1" w:rsidRPr="00E4790F" w:rsidRDefault="00FC0BE1" w:rsidP="00216EA4">
            <w:pPr>
              <w:pStyle w:val="BodyText"/>
              <w:spacing w:before="140"/>
              <w:jc w:val="both"/>
              <w:rPr>
                <w:b/>
              </w:rPr>
            </w:pPr>
          </w:p>
        </w:tc>
        <w:tc>
          <w:tcPr>
            <w:tcW w:w="1218" w:type="dxa"/>
          </w:tcPr>
          <w:p w14:paraId="3817337C" w14:textId="77777777" w:rsidR="00FC0BE1" w:rsidRPr="00E4790F" w:rsidRDefault="00FC0BE1" w:rsidP="00216EA4">
            <w:pPr>
              <w:pStyle w:val="BodyText"/>
              <w:spacing w:before="140"/>
              <w:jc w:val="both"/>
              <w:rPr>
                <w:b/>
              </w:rPr>
            </w:pPr>
          </w:p>
        </w:tc>
        <w:tc>
          <w:tcPr>
            <w:tcW w:w="1462" w:type="dxa"/>
          </w:tcPr>
          <w:p w14:paraId="6D1EE626" w14:textId="77777777" w:rsidR="00FC0BE1" w:rsidRPr="00E4790F" w:rsidRDefault="00FC0BE1" w:rsidP="00216EA4">
            <w:pPr>
              <w:pStyle w:val="BodyText"/>
              <w:spacing w:before="140"/>
              <w:jc w:val="both"/>
              <w:rPr>
                <w:b/>
              </w:rPr>
            </w:pPr>
          </w:p>
        </w:tc>
        <w:tc>
          <w:tcPr>
            <w:tcW w:w="1238" w:type="dxa"/>
          </w:tcPr>
          <w:p w14:paraId="5570324B" w14:textId="77777777" w:rsidR="00FC0BE1" w:rsidRPr="00E4790F" w:rsidRDefault="00FC0BE1" w:rsidP="00216EA4">
            <w:pPr>
              <w:pStyle w:val="BodyText"/>
              <w:spacing w:before="140"/>
              <w:jc w:val="both"/>
              <w:rPr>
                <w:b/>
              </w:rPr>
            </w:pPr>
          </w:p>
        </w:tc>
        <w:tc>
          <w:tcPr>
            <w:tcW w:w="1547" w:type="dxa"/>
          </w:tcPr>
          <w:p w14:paraId="4C465611" w14:textId="77777777" w:rsidR="00FC0BE1" w:rsidRPr="00E4790F" w:rsidRDefault="00FC0BE1" w:rsidP="00216EA4">
            <w:pPr>
              <w:pStyle w:val="BodyText"/>
              <w:spacing w:before="140"/>
              <w:jc w:val="both"/>
              <w:rPr>
                <w:b/>
              </w:rPr>
            </w:pPr>
          </w:p>
        </w:tc>
      </w:tr>
    </w:tbl>
    <w:p w14:paraId="3178B689" w14:textId="61D4F00B" w:rsidR="00FC0BE1" w:rsidRDefault="00FC0BE1" w:rsidP="005808FC">
      <w:pPr>
        <w:pStyle w:val="BodyText"/>
        <w:spacing w:before="140"/>
        <w:ind w:left="540"/>
        <w:jc w:val="both"/>
      </w:pPr>
      <w:r>
        <w:t xml:space="preserve">Note: </w:t>
      </w:r>
      <w:r w:rsidR="00CB7F18">
        <w:t xml:space="preserve">To build public awareness and accountability and allow Treasury to monitor compliance with eligible uses, some program and performance reporting is required for SLFRF.  As a </w:t>
      </w:r>
      <w:r w:rsidR="00C3657D">
        <w:t>subrecipient</w:t>
      </w:r>
      <w:r w:rsidR="00CB7F18">
        <w:t xml:space="preserve"> of the State </w:t>
      </w:r>
      <w:r w:rsidR="006C0FF5">
        <w:t xml:space="preserve">of Mississippi ARPA </w:t>
      </w:r>
      <w:r w:rsidR="00CB7F18">
        <w:t xml:space="preserve">funds, your entity will be required to submit project and expenditure reports </w:t>
      </w:r>
      <w:r w:rsidR="00217474">
        <w:t xml:space="preserve">to DFA in the portal </w:t>
      </w:r>
      <w:r w:rsidR="005808FC">
        <w:t xml:space="preserve">that are required by Treasury. </w:t>
      </w:r>
      <w:r w:rsidR="00CB7F18">
        <w:t xml:space="preserve">See compliance and reporting guidance at </w:t>
      </w:r>
      <w:hyperlink r:id="rId8" w:history="1">
        <w:r w:rsidR="00217474" w:rsidRPr="009B6B4E">
          <w:rPr>
            <w:rStyle w:val="Hyperlink"/>
          </w:rPr>
          <w:t>https://home.treasury.gov/system/files/136/SLFRF-Compliance-and-Reporting-Guidance.pdf</w:t>
        </w:r>
      </w:hyperlink>
      <w:r w:rsidR="00217474">
        <w:t xml:space="preserve">.  </w:t>
      </w:r>
      <w:r w:rsidR="00CB7F18">
        <w:t>T</w:t>
      </w:r>
      <w:r>
        <w:t xml:space="preserve">he project and use of funds will indicate the </w:t>
      </w:r>
      <w:r w:rsidR="00CB7F18">
        <w:t xml:space="preserve">project </w:t>
      </w:r>
      <w:r>
        <w:t xml:space="preserve">expenditure category </w:t>
      </w:r>
      <w:r w:rsidR="00CB7F18">
        <w:t>as indicated in the P</w:t>
      </w:r>
      <w:r w:rsidR="00217474">
        <w:t xml:space="preserve">roject and Expenditure Report User Guide.  See project and expenditure report guide at </w:t>
      </w:r>
      <w:hyperlink r:id="rId9" w:history="1">
        <w:r w:rsidR="00217474" w:rsidRPr="009B6B4E">
          <w:rPr>
            <w:rStyle w:val="Hyperlink"/>
          </w:rPr>
          <w:t>https://home.treasury.gov/system/files/136/Jan-2023-PE-Report-User-Guide.pdf</w:t>
        </w:r>
      </w:hyperlink>
      <w:r w:rsidR="00217474">
        <w:t>.  The expenditure category will then dictate the program data required to be reported.</w:t>
      </w:r>
    </w:p>
    <w:p w14:paraId="7EFF69CD" w14:textId="77777777" w:rsidR="00217474" w:rsidRDefault="00217474" w:rsidP="00FC0BE1">
      <w:pPr>
        <w:pStyle w:val="BodyText"/>
        <w:spacing w:before="140"/>
        <w:ind w:left="540"/>
      </w:pPr>
    </w:p>
    <w:p w14:paraId="278ADAFB" w14:textId="77777777" w:rsidR="00FC0BE1" w:rsidRDefault="00FC0BE1" w:rsidP="00507523">
      <w:pPr>
        <w:pStyle w:val="BodyText"/>
        <w:spacing w:before="140"/>
      </w:pPr>
    </w:p>
    <w:p w14:paraId="2AB44E84" w14:textId="77777777" w:rsidR="00FC0BE1" w:rsidRDefault="00FC0BE1" w:rsidP="00507523">
      <w:pPr>
        <w:pStyle w:val="BodyText"/>
        <w:spacing w:before="140"/>
      </w:pPr>
    </w:p>
    <w:p w14:paraId="6234DA91" w14:textId="420713A9" w:rsidR="002009D2" w:rsidRPr="009372E1" w:rsidRDefault="00BD6FEB" w:rsidP="009372E1">
      <w:pPr>
        <w:pStyle w:val="BodyText"/>
        <w:numPr>
          <w:ilvl w:val="0"/>
          <w:numId w:val="3"/>
        </w:numPr>
        <w:spacing w:before="140"/>
        <w:jc w:val="both"/>
        <w:rPr>
          <w:b/>
        </w:rPr>
      </w:pPr>
      <w:r>
        <w:rPr>
          <w:b/>
        </w:rPr>
        <w:t xml:space="preserve">The project costs above will be funded from the following sources of funds.   </w:t>
      </w:r>
      <w:r w:rsidR="00230BB3">
        <w:rPr>
          <w:b/>
        </w:rPr>
        <w:t>For example</w:t>
      </w:r>
      <w:r w:rsidR="00CE0E6C" w:rsidRPr="003877CE">
        <w:rPr>
          <w:b/>
        </w:rPr>
        <w:t>,</w:t>
      </w:r>
      <w:r w:rsidR="00230BB3">
        <w:rPr>
          <w:b/>
        </w:rPr>
        <w:t xml:space="preserve"> if the project costs will be funded solely from the Senate Bill 2700 MAICU Grant program then list that as the source and the project costs.  If the project will be funded from multiple sources</w:t>
      </w:r>
      <w:r w:rsidR="00110E6B">
        <w:rPr>
          <w:b/>
        </w:rPr>
        <w:t>,</w:t>
      </w:r>
      <w:r w:rsidR="00110E6B">
        <w:rPr>
          <w:b/>
          <w:color w:val="FF0000"/>
        </w:rPr>
        <w:t xml:space="preserve"> </w:t>
      </w:r>
      <w:r w:rsidR="00230BB3">
        <w:rPr>
          <w:b/>
        </w:rPr>
        <w:t>please list the source of funds and approximately how much of the project costs.</w:t>
      </w:r>
    </w:p>
    <w:p w14:paraId="20B1EADB" w14:textId="77777777" w:rsidR="00842A00" w:rsidRDefault="00842A00" w:rsidP="00842A00">
      <w:pPr>
        <w:pStyle w:val="BodyText"/>
        <w:spacing w:before="140"/>
        <w:ind w:left="136"/>
        <w:jc w:val="both"/>
        <w:rPr>
          <w:b/>
        </w:rPr>
      </w:pPr>
    </w:p>
    <w:tbl>
      <w:tblPr>
        <w:tblStyle w:val="TableGrid"/>
        <w:tblW w:w="0" w:type="auto"/>
        <w:tblInd w:w="496" w:type="dxa"/>
        <w:tblLook w:val="04A0" w:firstRow="1" w:lastRow="0" w:firstColumn="1" w:lastColumn="0" w:noHBand="0" w:noVBand="1"/>
      </w:tblPr>
      <w:tblGrid>
        <w:gridCol w:w="4179"/>
        <w:gridCol w:w="1800"/>
      </w:tblGrid>
      <w:tr w:rsidR="00BD6FEB" w:rsidRPr="00E4790F" w14:paraId="6B1D2E85" w14:textId="77777777" w:rsidTr="004B76D0">
        <w:tc>
          <w:tcPr>
            <w:tcW w:w="4179" w:type="dxa"/>
            <w:shd w:val="clear" w:color="auto" w:fill="BFBFBF" w:themeFill="background1" w:themeFillShade="BF"/>
          </w:tcPr>
          <w:p w14:paraId="648BA8E6" w14:textId="77777777" w:rsidR="00BD6FEB" w:rsidRPr="00E4790F" w:rsidRDefault="00230BB3" w:rsidP="004B76D0">
            <w:pPr>
              <w:pStyle w:val="BodyText"/>
              <w:spacing w:before="140"/>
              <w:jc w:val="both"/>
              <w:rPr>
                <w:b/>
              </w:rPr>
            </w:pPr>
            <w:r>
              <w:rPr>
                <w:b/>
              </w:rPr>
              <w:t>Sources of funds</w:t>
            </w:r>
          </w:p>
        </w:tc>
        <w:tc>
          <w:tcPr>
            <w:tcW w:w="1800" w:type="dxa"/>
            <w:shd w:val="clear" w:color="auto" w:fill="BFBFBF" w:themeFill="background1" w:themeFillShade="BF"/>
          </w:tcPr>
          <w:p w14:paraId="5CDB7B7C" w14:textId="77777777" w:rsidR="00BD6FEB" w:rsidRPr="00E4790F" w:rsidRDefault="00BD6FEB" w:rsidP="00230BB3">
            <w:pPr>
              <w:pStyle w:val="BodyText"/>
              <w:spacing w:before="140"/>
              <w:jc w:val="both"/>
              <w:rPr>
                <w:b/>
              </w:rPr>
            </w:pPr>
            <w:r>
              <w:rPr>
                <w:b/>
              </w:rPr>
              <w:t xml:space="preserve">  </w:t>
            </w:r>
            <w:r w:rsidR="00230BB3">
              <w:rPr>
                <w:b/>
              </w:rPr>
              <w:t>Project</w:t>
            </w:r>
            <w:r w:rsidRPr="00E4790F">
              <w:rPr>
                <w:b/>
              </w:rPr>
              <w:t xml:space="preserve"> costs</w:t>
            </w:r>
          </w:p>
        </w:tc>
      </w:tr>
      <w:tr w:rsidR="00BD6FEB" w:rsidRPr="00E4790F" w14:paraId="4F5EB60C" w14:textId="77777777" w:rsidTr="004B76D0">
        <w:tc>
          <w:tcPr>
            <w:tcW w:w="4179" w:type="dxa"/>
          </w:tcPr>
          <w:p w14:paraId="598E826D" w14:textId="77777777" w:rsidR="00BD6FEB" w:rsidRPr="00B7675D" w:rsidRDefault="00BD6FEB" w:rsidP="004B76D0">
            <w:pPr>
              <w:pStyle w:val="BodyText"/>
              <w:spacing w:before="140"/>
              <w:jc w:val="both"/>
              <w:rPr>
                <w:b/>
                <w:color w:val="FF0000"/>
              </w:rPr>
            </w:pPr>
          </w:p>
        </w:tc>
        <w:tc>
          <w:tcPr>
            <w:tcW w:w="1800" w:type="dxa"/>
          </w:tcPr>
          <w:p w14:paraId="4B2E6ED5" w14:textId="77777777" w:rsidR="00BD6FEB" w:rsidRPr="00E4790F" w:rsidRDefault="00BD6FEB" w:rsidP="004B76D0">
            <w:pPr>
              <w:pStyle w:val="BodyText"/>
              <w:spacing w:before="140"/>
              <w:jc w:val="both"/>
              <w:rPr>
                <w:b/>
              </w:rPr>
            </w:pPr>
          </w:p>
        </w:tc>
      </w:tr>
      <w:tr w:rsidR="00BD6FEB" w:rsidRPr="00E4790F" w14:paraId="70E105B3" w14:textId="77777777" w:rsidTr="004B76D0">
        <w:tc>
          <w:tcPr>
            <w:tcW w:w="4179" w:type="dxa"/>
          </w:tcPr>
          <w:p w14:paraId="7F7ACDEF" w14:textId="77777777" w:rsidR="00BD6FEB" w:rsidRPr="00B7675D" w:rsidRDefault="00BD6FEB" w:rsidP="004B76D0">
            <w:pPr>
              <w:pStyle w:val="BodyText"/>
              <w:spacing w:before="140"/>
              <w:jc w:val="both"/>
              <w:rPr>
                <w:b/>
                <w:color w:val="FF0000"/>
              </w:rPr>
            </w:pPr>
          </w:p>
        </w:tc>
        <w:tc>
          <w:tcPr>
            <w:tcW w:w="1800" w:type="dxa"/>
          </w:tcPr>
          <w:p w14:paraId="253B5964" w14:textId="77777777" w:rsidR="00BD6FEB" w:rsidRPr="00E4790F" w:rsidRDefault="00BD6FEB" w:rsidP="004B76D0">
            <w:pPr>
              <w:pStyle w:val="BodyText"/>
              <w:spacing w:before="140"/>
              <w:jc w:val="both"/>
              <w:rPr>
                <w:b/>
              </w:rPr>
            </w:pPr>
          </w:p>
        </w:tc>
      </w:tr>
      <w:tr w:rsidR="00BD6FEB" w:rsidRPr="00E4790F" w14:paraId="1BB6C5CD" w14:textId="77777777" w:rsidTr="004B76D0">
        <w:tc>
          <w:tcPr>
            <w:tcW w:w="4179" w:type="dxa"/>
          </w:tcPr>
          <w:p w14:paraId="03A4A2F6" w14:textId="77777777" w:rsidR="00BD6FEB" w:rsidRPr="00B7675D" w:rsidRDefault="00BD6FEB" w:rsidP="004B76D0">
            <w:pPr>
              <w:pStyle w:val="BodyText"/>
              <w:spacing w:before="140"/>
              <w:jc w:val="both"/>
              <w:rPr>
                <w:b/>
                <w:color w:val="FF0000"/>
              </w:rPr>
            </w:pPr>
          </w:p>
        </w:tc>
        <w:tc>
          <w:tcPr>
            <w:tcW w:w="1800" w:type="dxa"/>
          </w:tcPr>
          <w:p w14:paraId="5E0C5F74" w14:textId="77777777" w:rsidR="00BD6FEB" w:rsidRPr="00E4790F" w:rsidRDefault="00BD6FEB" w:rsidP="004B76D0">
            <w:pPr>
              <w:pStyle w:val="BodyText"/>
              <w:spacing w:before="140"/>
              <w:jc w:val="both"/>
              <w:rPr>
                <w:b/>
              </w:rPr>
            </w:pPr>
          </w:p>
        </w:tc>
      </w:tr>
      <w:tr w:rsidR="00BD6FEB" w:rsidRPr="00E4790F" w14:paraId="7EF490F3" w14:textId="77777777" w:rsidTr="004B76D0">
        <w:tc>
          <w:tcPr>
            <w:tcW w:w="4179" w:type="dxa"/>
          </w:tcPr>
          <w:p w14:paraId="4DCF0916" w14:textId="77777777" w:rsidR="00BD6FEB" w:rsidRPr="00B7675D" w:rsidRDefault="00BD6FEB" w:rsidP="004B76D0">
            <w:pPr>
              <w:pStyle w:val="BodyText"/>
              <w:spacing w:before="140"/>
              <w:jc w:val="both"/>
              <w:rPr>
                <w:b/>
                <w:color w:val="FF0000"/>
              </w:rPr>
            </w:pPr>
          </w:p>
        </w:tc>
        <w:tc>
          <w:tcPr>
            <w:tcW w:w="1800" w:type="dxa"/>
          </w:tcPr>
          <w:p w14:paraId="1A9C7300" w14:textId="77777777" w:rsidR="00BD6FEB" w:rsidRPr="00E4790F" w:rsidRDefault="00BD6FEB" w:rsidP="004B76D0">
            <w:pPr>
              <w:pStyle w:val="BodyText"/>
              <w:spacing w:before="140"/>
              <w:jc w:val="both"/>
              <w:rPr>
                <w:b/>
              </w:rPr>
            </w:pPr>
          </w:p>
        </w:tc>
      </w:tr>
      <w:tr w:rsidR="00BD6FEB" w:rsidRPr="00E4790F" w14:paraId="58A4AC8E" w14:textId="77777777" w:rsidTr="004B76D0">
        <w:tc>
          <w:tcPr>
            <w:tcW w:w="4179" w:type="dxa"/>
          </w:tcPr>
          <w:p w14:paraId="0769C533" w14:textId="77777777" w:rsidR="00BD6FEB" w:rsidRPr="00B7675D" w:rsidRDefault="00BD6FEB" w:rsidP="004B76D0">
            <w:pPr>
              <w:pStyle w:val="BodyText"/>
              <w:spacing w:before="140"/>
              <w:rPr>
                <w:b/>
                <w:color w:val="FF0000"/>
              </w:rPr>
            </w:pPr>
          </w:p>
        </w:tc>
        <w:tc>
          <w:tcPr>
            <w:tcW w:w="1800" w:type="dxa"/>
          </w:tcPr>
          <w:p w14:paraId="7FBEE002" w14:textId="77777777" w:rsidR="00BD6FEB" w:rsidRPr="00E4790F" w:rsidRDefault="00BD6FEB" w:rsidP="004B76D0">
            <w:pPr>
              <w:pStyle w:val="BodyText"/>
              <w:spacing w:before="140"/>
              <w:jc w:val="both"/>
              <w:rPr>
                <w:b/>
              </w:rPr>
            </w:pPr>
          </w:p>
        </w:tc>
      </w:tr>
      <w:tr w:rsidR="00BD6FEB" w:rsidRPr="00E4790F" w14:paraId="34B7CF04" w14:textId="77777777" w:rsidTr="004B76D0">
        <w:tc>
          <w:tcPr>
            <w:tcW w:w="4179" w:type="dxa"/>
          </w:tcPr>
          <w:p w14:paraId="407C98EE" w14:textId="77777777" w:rsidR="00BD6FEB" w:rsidRPr="00E4790F" w:rsidRDefault="00BD6FEB" w:rsidP="004B76D0">
            <w:pPr>
              <w:pStyle w:val="BodyText"/>
              <w:spacing w:before="140"/>
              <w:jc w:val="both"/>
              <w:rPr>
                <w:b/>
              </w:rPr>
            </w:pPr>
            <w:r w:rsidRPr="00E4790F">
              <w:rPr>
                <w:b/>
              </w:rPr>
              <w:t>Total</w:t>
            </w:r>
            <w:r w:rsidR="002009D2">
              <w:rPr>
                <w:b/>
              </w:rPr>
              <w:t xml:space="preserve"> Project Costs</w:t>
            </w:r>
          </w:p>
        </w:tc>
        <w:tc>
          <w:tcPr>
            <w:tcW w:w="1800" w:type="dxa"/>
          </w:tcPr>
          <w:p w14:paraId="0703B808" w14:textId="77777777" w:rsidR="00BD6FEB" w:rsidRPr="00E4790F" w:rsidRDefault="00BD6FEB" w:rsidP="004B76D0">
            <w:pPr>
              <w:pStyle w:val="BodyText"/>
              <w:spacing w:before="140"/>
              <w:jc w:val="both"/>
              <w:rPr>
                <w:b/>
              </w:rPr>
            </w:pPr>
          </w:p>
        </w:tc>
      </w:tr>
    </w:tbl>
    <w:p w14:paraId="0A8DAA91" w14:textId="62B73B50" w:rsidR="00C3657D" w:rsidRDefault="00C3657D" w:rsidP="00507523">
      <w:pPr>
        <w:pStyle w:val="BodyText"/>
        <w:spacing w:before="140"/>
      </w:pPr>
    </w:p>
    <w:p w14:paraId="2A6B62D3" w14:textId="77777777" w:rsidR="00C3657D" w:rsidRDefault="00C3657D">
      <w:pPr>
        <w:rPr>
          <w:sz w:val="24"/>
          <w:szCs w:val="24"/>
        </w:rPr>
      </w:pPr>
      <w:r>
        <w:br w:type="page"/>
      </w:r>
    </w:p>
    <w:p w14:paraId="6D7CAAF4" w14:textId="77777777" w:rsidR="00BD6FEB" w:rsidRDefault="00BD6FEB" w:rsidP="00507523">
      <w:pPr>
        <w:pStyle w:val="BodyText"/>
        <w:spacing w:before="140"/>
      </w:pPr>
    </w:p>
    <w:p w14:paraId="61234EB7" w14:textId="77777777" w:rsidR="00C3657D" w:rsidRPr="003D0523" w:rsidRDefault="00C3657D" w:rsidP="00C3657D">
      <w:pPr>
        <w:pStyle w:val="BodyText"/>
        <w:spacing w:before="60"/>
        <w:ind w:left="496" w:right="268"/>
        <w:jc w:val="center"/>
        <w:rPr>
          <w:b/>
          <w:sz w:val="28"/>
          <w:szCs w:val="28"/>
        </w:rPr>
      </w:pPr>
      <w:r w:rsidRPr="003D0523">
        <w:rPr>
          <w:b/>
          <w:sz w:val="28"/>
          <w:szCs w:val="28"/>
        </w:rPr>
        <w:t xml:space="preserve">Please review the following </w:t>
      </w:r>
    </w:p>
    <w:p w14:paraId="77D5358B" w14:textId="248A11C3" w:rsidR="002009D2" w:rsidRPr="003D0523" w:rsidRDefault="002009D2" w:rsidP="00C3657D">
      <w:pPr>
        <w:pStyle w:val="BodyText"/>
        <w:spacing w:before="60"/>
        <w:ind w:left="496" w:right="268"/>
        <w:jc w:val="center"/>
        <w:rPr>
          <w:b/>
          <w:sz w:val="28"/>
          <w:szCs w:val="28"/>
        </w:rPr>
      </w:pPr>
      <w:r w:rsidRPr="003D0523">
        <w:rPr>
          <w:b/>
          <w:sz w:val="28"/>
          <w:szCs w:val="28"/>
        </w:rPr>
        <w:t xml:space="preserve">SLFRF </w:t>
      </w:r>
      <w:r w:rsidR="00A74405">
        <w:rPr>
          <w:b/>
          <w:sz w:val="28"/>
          <w:szCs w:val="28"/>
        </w:rPr>
        <w:t>guidance</w:t>
      </w:r>
      <w:r w:rsidR="0047352B">
        <w:rPr>
          <w:b/>
          <w:sz w:val="28"/>
          <w:szCs w:val="28"/>
        </w:rPr>
        <w:t xml:space="preserve"> </w:t>
      </w:r>
      <w:r w:rsidRPr="003D0523">
        <w:rPr>
          <w:b/>
          <w:sz w:val="28"/>
          <w:szCs w:val="28"/>
        </w:rPr>
        <w:t xml:space="preserve">critical to </w:t>
      </w:r>
      <w:r w:rsidR="005E6D84" w:rsidRPr="003D0523">
        <w:rPr>
          <w:b/>
          <w:sz w:val="28"/>
          <w:szCs w:val="28"/>
        </w:rPr>
        <w:t xml:space="preserve">project </w:t>
      </w:r>
      <w:r w:rsidRPr="003D0523">
        <w:rPr>
          <w:b/>
          <w:sz w:val="28"/>
          <w:szCs w:val="28"/>
        </w:rPr>
        <w:t>cost</w:t>
      </w:r>
      <w:r w:rsidR="00A74405">
        <w:rPr>
          <w:b/>
          <w:sz w:val="28"/>
          <w:szCs w:val="28"/>
        </w:rPr>
        <w:t xml:space="preserve"> requirement</w:t>
      </w:r>
      <w:r w:rsidRPr="003D0523">
        <w:rPr>
          <w:b/>
          <w:sz w:val="28"/>
          <w:szCs w:val="28"/>
        </w:rPr>
        <w:t>s</w:t>
      </w:r>
    </w:p>
    <w:p w14:paraId="686DFCE8" w14:textId="77777777" w:rsidR="00FC0BE1" w:rsidRDefault="00FC0BE1" w:rsidP="00842A00">
      <w:pPr>
        <w:pStyle w:val="BodyText"/>
        <w:spacing w:before="60"/>
        <w:ind w:right="268"/>
        <w:jc w:val="both"/>
        <w:rPr>
          <w:b/>
        </w:rPr>
      </w:pPr>
    </w:p>
    <w:p w14:paraId="04337875" w14:textId="77777777" w:rsidR="005E6D84" w:rsidRDefault="005E6D84" w:rsidP="00842A00">
      <w:pPr>
        <w:pStyle w:val="BodyText"/>
        <w:spacing w:before="60"/>
        <w:ind w:right="268"/>
        <w:jc w:val="both"/>
        <w:rPr>
          <w:b/>
        </w:rPr>
      </w:pPr>
      <w:r w:rsidRPr="00842A00">
        <w:rPr>
          <w:b/>
        </w:rPr>
        <w:t xml:space="preserve">SLFRF </w:t>
      </w:r>
      <w:r>
        <w:rPr>
          <w:b/>
        </w:rPr>
        <w:t>Overview of Final Rule</w:t>
      </w:r>
    </w:p>
    <w:p w14:paraId="45A0E237" w14:textId="77777777" w:rsidR="005E6D84" w:rsidRDefault="005E6D84" w:rsidP="00045FB4">
      <w:pPr>
        <w:pStyle w:val="BodyText"/>
        <w:ind w:right="274"/>
        <w:jc w:val="both"/>
        <w:rPr>
          <w:b/>
        </w:rPr>
      </w:pPr>
    </w:p>
    <w:p w14:paraId="48133D49" w14:textId="77777777" w:rsidR="0043278E" w:rsidRPr="00045FB4" w:rsidRDefault="0043278E" w:rsidP="00045FB4">
      <w:pPr>
        <w:pStyle w:val="Heading2"/>
        <w:spacing w:before="0"/>
        <w:rPr>
          <w:color w:val="000000" w:themeColor="text1"/>
          <w:sz w:val="24"/>
          <w:szCs w:val="24"/>
        </w:rPr>
      </w:pPr>
      <w:r w:rsidRPr="00045FB4">
        <w:rPr>
          <w:color w:val="000000" w:themeColor="text1"/>
          <w:spacing w:val="-2"/>
          <w:sz w:val="24"/>
          <w:szCs w:val="24"/>
        </w:rPr>
        <w:t>CAPITAL</w:t>
      </w:r>
      <w:r w:rsidRPr="00045FB4">
        <w:rPr>
          <w:color w:val="000000" w:themeColor="text1"/>
          <w:sz w:val="24"/>
          <w:szCs w:val="24"/>
        </w:rPr>
        <w:t xml:space="preserve"> </w:t>
      </w:r>
      <w:r w:rsidRPr="00045FB4">
        <w:rPr>
          <w:color w:val="000000" w:themeColor="text1"/>
          <w:spacing w:val="-2"/>
          <w:sz w:val="24"/>
          <w:szCs w:val="24"/>
        </w:rPr>
        <w:t>EXPENDITURES</w:t>
      </w:r>
    </w:p>
    <w:p w14:paraId="2522E32D" w14:textId="77777777" w:rsidR="0043278E" w:rsidRDefault="0043278E" w:rsidP="0043278E">
      <w:pPr>
        <w:pStyle w:val="BodyText"/>
        <w:spacing w:before="181" w:line="259" w:lineRule="auto"/>
        <w:ind w:left="200" w:right="501"/>
        <w:jc w:val="both"/>
      </w:pPr>
      <w:r>
        <w:t>As described above, the final rule clarifies that recipients may use funds for programs, services, and capital</w:t>
      </w:r>
      <w:r>
        <w:rPr>
          <w:spacing w:val="-4"/>
        </w:rPr>
        <w:t xml:space="preserve"> </w:t>
      </w:r>
      <w:r>
        <w:t>expenditures</w:t>
      </w:r>
      <w:r>
        <w:rPr>
          <w:spacing w:val="-4"/>
        </w:rPr>
        <w:t xml:space="preserve"> </w:t>
      </w:r>
      <w:r>
        <w:t>that</w:t>
      </w:r>
      <w:r>
        <w:rPr>
          <w:spacing w:val="-2"/>
        </w:rPr>
        <w:t xml:space="preserve"> </w:t>
      </w:r>
      <w:r>
        <w:t>respond</w:t>
      </w:r>
      <w:r>
        <w:rPr>
          <w:spacing w:val="-4"/>
        </w:rPr>
        <w:t xml:space="preserve"> </w:t>
      </w:r>
      <w:r>
        <w:t>to</w:t>
      </w:r>
      <w:r>
        <w:rPr>
          <w:spacing w:val="-2"/>
        </w:rPr>
        <w:t xml:space="preserve"> </w:t>
      </w:r>
      <w:r>
        <w:t>the</w:t>
      </w:r>
      <w:r>
        <w:rPr>
          <w:spacing w:val="-3"/>
        </w:rPr>
        <w:t xml:space="preserve"> </w:t>
      </w:r>
      <w:r>
        <w:t>public</w:t>
      </w:r>
      <w:r>
        <w:rPr>
          <w:spacing w:val="-4"/>
        </w:rPr>
        <w:t xml:space="preserve"> </w:t>
      </w:r>
      <w:r>
        <w:t>health</w:t>
      </w:r>
      <w:r>
        <w:rPr>
          <w:spacing w:val="-4"/>
        </w:rPr>
        <w:t xml:space="preserve"> </w:t>
      </w:r>
      <w:r>
        <w:t>and</w:t>
      </w:r>
      <w:r>
        <w:rPr>
          <w:spacing w:val="-3"/>
        </w:rPr>
        <w:t xml:space="preserve"> </w:t>
      </w:r>
      <w:r>
        <w:t>negative</w:t>
      </w:r>
      <w:r>
        <w:rPr>
          <w:spacing w:val="-3"/>
        </w:rPr>
        <w:t xml:space="preserve"> </w:t>
      </w:r>
      <w:r>
        <w:t>economic</w:t>
      </w:r>
      <w:r>
        <w:rPr>
          <w:spacing w:val="-4"/>
        </w:rPr>
        <w:t xml:space="preserve"> </w:t>
      </w:r>
      <w:r>
        <w:t>impacts</w:t>
      </w:r>
      <w:r>
        <w:rPr>
          <w:spacing w:val="-4"/>
        </w:rPr>
        <w:t xml:space="preserve"> </w:t>
      </w:r>
      <w:r>
        <w:t>of</w:t>
      </w:r>
      <w:r>
        <w:rPr>
          <w:spacing w:val="-4"/>
        </w:rPr>
        <w:t xml:space="preserve"> </w:t>
      </w:r>
      <w:r>
        <w:t>the</w:t>
      </w:r>
      <w:r>
        <w:rPr>
          <w:spacing w:val="-3"/>
        </w:rPr>
        <w:t xml:space="preserve"> </w:t>
      </w:r>
      <w:r>
        <w:t>pandemic. Any use of funds in this category for a capital expenditure must comply with the capital expenditure requirements, in addition to other standards for uses of funds.</w:t>
      </w:r>
    </w:p>
    <w:p w14:paraId="4671FE07" w14:textId="77777777" w:rsidR="0043278E" w:rsidRDefault="0043278E" w:rsidP="0043278E">
      <w:pPr>
        <w:pStyle w:val="BodyText"/>
        <w:spacing w:before="159" w:line="259" w:lineRule="auto"/>
        <w:ind w:left="200" w:right="531"/>
        <w:jc w:val="both"/>
      </w:pPr>
      <w:r>
        <w:t>Capital</w:t>
      </w:r>
      <w:r>
        <w:rPr>
          <w:spacing w:val="-4"/>
        </w:rPr>
        <w:t xml:space="preserve"> </w:t>
      </w:r>
      <w:r>
        <w:t>expenditures</w:t>
      </w:r>
      <w:r>
        <w:rPr>
          <w:spacing w:val="-4"/>
        </w:rPr>
        <w:t xml:space="preserve"> </w:t>
      </w:r>
      <w:r>
        <w:t>are</w:t>
      </w:r>
      <w:r>
        <w:rPr>
          <w:spacing w:val="-3"/>
        </w:rPr>
        <w:t xml:space="preserve"> </w:t>
      </w:r>
      <w:r>
        <w:t>subject</w:t>
      </w:r>
      <w:r>
        <w:rPr>
          <w:spacing w:val="-4"/>
        </w:rPr>
        <w:t xml:space="preserve"> </w:t>
      </w:r>
      <w:r>
        <w:t>to</w:t>
      </w:r>
      <w:r>
        <w:rPr>
          <w:spacing w:val="-3"/>
        </w:rPr>
        <w:t xml:space="preserve"> </w:t>
      </w:r>
      <w:r>
        <w:t>the</w:t>
      </w:r>
      <w:r>
        <w:rPr>
          <w:spacing w:val="-4"/>
        </w:rPr>
        <w:t xml:space="preserve"> </w:t>
      </w:r>
      <w:r>
        <w:t>same eligibility</w:t>
      </w:r>
      <w:r>
        <w:rPr>
          <w:spacing w:val="-3"/>
        </w:rPr>
        <w:t xml:space="preserve"> </w:t>
      </w:r>
      <w:r>
        <w:t>standard</w:t>
      </w:r>
      <w:r>
        <w:rPr>
          <w:spacing w:val="-3"/>
        </w:rPr>
        <w:t xml:space="preserve"> </w:t>
      </w:r>
      <w:r>
        <w:t>as</w:t>
      </w:r>
      <w:r>
        <w:rPr>
          <w:spacing w:val="-2"/>
        </w:rPr>
        <w:t xml:space="preserve"> </w:t>
      </w:r>
      <w:r>
        <w:t>other</w:t>
      </w:r>
      <w:r>
        <w:rPr>
          <w:spacing w:val="-4"/>
        </w:rPr>
        <w:t xml:space="preserve"> </w:t>
      </w:r>
      <w:r>
        <w:t>eligible</w:t>
      </w:r>
      <w:r>
        <w:rPr>
          <w:spacing w:val="-3"/>
        </w:rPr>
        <w:t xml:space="preserve"> </w:t>
      </w:r>
      <w:r>
        <w:t>uses</w:t>
      </w:r>
      <w:r>
        <w:rPr>
          <w:spacing w:val="-2"/>
        </w:rPr>
        <w:t xml:space="preserve"> </w:t>
      </w:r>
      <w:r>
        <w:t>to</w:t>
      </w:r>
      <w:r>
        <w:rPr>
          <w:spacing w:val="-2"/>
        </w:rPr>
        <w:t xml:space="preserve"> </w:t>
      </w:r>
      <w:r>
        <w:t>respond</w:t>
      </w:r>
      <w:r>
        <w:rPr>
          <w:spacing w:val="-4"/>
        </w:rPr>
        <w:t xml:space="preserve"> </w:t>
      </w:r>
      <w:r>
        <w:t>to</w:t>
      </w:r>
      <w:r>
        <w:rPr>
          <w:spacing w:val="-2"/>
        </w:rPr>
        <w:t xml:space="preserve"> </w:t>
      </w:r>
      <w:r>
        <w:t>the pandemic’s public health and economic impacts; specifically, they must be related and reasonably proportional to the pandemic impact identified and reasonably designed to benefit the impacted population or class.</w:t>
      </w:r>
    </w:p>
    <w:p w14:paraId="1E2B33BA" w14:textId="77777777" w:rsidR="0043278E" w:rsidRDefault="0043278E" w:rsidP="0043278E">
      <w:pPr>
        <w:pStyle w:val="BodyText"/>
        <w:spacing w:before="160" w:line="259" w:lineRule="auto"/>
        <w:ind w:left="200" w:right="531"/>
        <w:jc w:val="both"/>
      </w:pPr>
      <w:r>
        <w:t>For ease of administration, the final rule identifies enumerated types of capital expenditures that Treasury has identified as responding to the pandemic’s impacts; these are listed in the applicable sub- category</w:t>
      </w:r>
      <w:r>
        <w:rPr>
          <w:spacing w:val="-3"/>
        </w:rPr>
        <w:t xml:space="preserve"> </w:t>
      </w:r>
      <w:r>
        <w:t>of</w:t>
      </w:r>
      <w:r>
        <w:rPr>
          <w:spacing w:val="-3"/>
        </w:rPr>
        <w:t xml:space="preserve"> </w:t>
      </w:r>
      <w:r>
        <w:t>eligible</w:t>
      </w:r>
      <w:r>
        <w:rPr>
          <w:spacing w:val="-4"/>
        </w:rPr>
        <w:t xml:space="preserve"> </w:t>
      </w:r>
      <w:r>
        <w:t>uses</w:t>
      </w:r>
      <w:r>
        <w:rPr>
          <w:spacing w:val="-3"/>
        </w:rPr>
        <w:t xml:space="preserve"> </w:t>
      </w:r>
      <w:r>
        <w:t>(e.g.,</w:t>
      </w:r>
      <w:r>
        <w:rPr>
          <w:spacing w:val="-3"/>
        </w:rPr>
        <w:t xml:space="preserve"> </w:t>
      </w:r>
      <w:r>
        <w:t>public</w:t>
      </w:r>
      <w:r>
        <w:rPr>
          <w:spacing w:val="-3"/>
        </w:rPr>
        <w:t xml:space="preserve"> </w:t>
      </w:r>
      <w:r>
        <w:t>health,</w:t>
      </w:r>
      <w:r>
        <w:rPr>
          <w:spacing w:val="-4"/>
        </w:rPr>
        <w:t xml:space="preserve"> </w:t>
      </w:r>
      <w:r>
        <w:t>assistance</w:t>
      </w:r>
      <w:r>
        <w:rPr>
          <w:spacing w:val="-3"/>
        </w:rPr>
        <w:t xml:space="preserve"> </w:t>
      </w:r>
      <w:r>
        <w:t>to</w:t>
      </w:r>
      <w:r>
        <w:rPr>
          <w:spacing w:val="-3"/>
        </w:rPr>
        <w:t xml:space="preserve"> </w:t>
      </w:r>
      <w:r>
        <w:t>households,</w:t>
      </w:r>
      <w:r>
        <w:rPr>
          <w:spacing w:val="-3"/>
        </w:rPr>
        <w:t xml:space="preserve"> </w:t>
      </w:r>
      <w:r>
        <w:t>etc.).</w:t>
      </w:r>
      <w:r>
        <w:rPr>
          <w:spacing w:val="-3"/>
        </w:rPr>
        <w:t xml:space="preserve"> </w:t>
      </w:r>
      <w:r>
        <w:t>Recipients</w:t>
      </w:r>
      <w:r>
        <w:rPr>
          <w:spacing w:val="-3"/>
        </w:rPr>
        <w:t xml:space="preserve"> </w:t>
      </w:r>
      <w:r>
        <w:t>may</w:t>
      </w:r>
      <w:r>
        <w:rPr>
          <w:spacing w:val="-4"/>
        </w:rPr>
        <w:t xml:space="preserve"> </w:t>
      </w:r>
      <w:r>
        <w:t>also</w:t>
      </w:r>
      <w:r>
        <w:rPr>
          <w:spacing w:val="-3"/>
        </w:rPr>
        <w:t xml:space="preserve"> </w:t>
      </w:r>
      <w:r>
        <w:t>identify other responsive capital expenditures. Similar to other eligible uses in the SLFRF program, no pre- approval is required for capital expenditures.</w:t>
      </w:r>
    </w:p>
    <w:p w14:paraId="7A6C3099" w14:textId="77777777" w:rsidR="0043278E" w:rsidRDefault="0043278E" w:rsidP="0043278E">
      <w:pPr>
        <w:pStyle w:val="BodyText"/>
        <w:spacing w:before="159" w:line="259" w:lineRule="auto"/>
        <w:ind w:left="200" w:right="560"/>
        <w:jc w:val="both"/>
      </w:pPr>
      <w:r>
        <w:t>To guide recipients’ analysis of whether a capital expenditure meets the eligibility standard, recipients (with the exception of Tribal governments) must complete and meet the requirements of a written justification for capital expenditures equal to or greater than $1 million. For large-scale capital expenditures,</w:t>
      </w:r>
      <w:r>
        <w:rPr>
          <w:spacing w:val="-3"/>
        </w:rPr>
        <w:t xml:space="preserve"> </w:t>
      </w:r>
      <w:r>
        <w:t>which</w:t>
      </w:r>
      <w:r>
        <w:rPr>
          <w:spacing w:val="-4"/>
        </w:rPr>
        <w:t xml:space="preserve"> </w:t>
      </w:r>
      <w:r>
        <w:t>have</w:t>
      </w:r>
      <w:r>
        <w:rPr>
          <w:spacing w:val="-2"/>
        </w:rPr>
        <w:t xml:space="preserve"> </w:t>
      </w:r>
      <w:r>
        <w:t>high</w:t>
      </w:r>
      <w:r>
        <w:rPr>
          <w:spacing w:val="-3"/>
        </w:rPr>
        <w:t xml:space="preserve"> </w:t>
      </w:r>
      <w:r>
        <w:t>costs</w:t>
      </w:r>
      <w:r>
        <w:rPr>
          <w:spacing w:val="-4"/>
        </w:rPr>
        <w:t xml:space="preserve"> </w:t>
      </w:r>
      <w:r>
        <w:t>and</w:t>
      </w:r>
      <w:r>
        <w:rPr>
          <w:spacing w:val="-3"/>
        </w:rPr>
        <w:t xml:space="preserve"> </w:t>
      </w:r>
      <w:r>
        <w:t>may</w:t>
      </w:r>
      <w:r>
        <w:rPr>
          <w:spacing w:val="-4"/>
        </w:rPr>
        <w:t xml:space="preserve"> </w:t>
      </w:r>
      <w:r>
        <w:t>require</w:t>
      </w:r>
      <w:r>
        <w:rPr>
          <w:spacing w:val="-3"/>
        </w:rPr>
        <w:t xml:space="preserve"> </w:t>
      </w:r>
      <w:r>
        <w:t>an</w:t>
      </w:r>
      <w:r>
        <w:rPr>
          <w:spacing w:val="-4"/>
        </w:rPr>
        <w:t xml:space="preserve"> </w:t>
      </w:r>
      <w:r>
        <w:t>extended</w:t>
      </w:r>
      <w:r>
        <w:rPr>
          <w:spacing w:val="-3"/>
        </w:rPr>
        <w:t xml:space="preserve"> </w:t>
      </w:r>
      <w:r>
        <w:t>length</w:t>
      </w:r>
      <w:r>
        <w:rPr>
          <w:spacing w:val="-3"/>
        </w:rPr>
        <w:t xml:space="preserve"> </w:t>
      </w:r>
      <w:r>
        <w:t>of</w:t>
      </w:r>
      <w:r>
        <w:rPr>
          <w:spacing w:val="-4"/>
        </w:rPr>
        <w:t xml:space="preserve"> </w:t>
      </w:r>
      <w:r>
        <w:t>time</w:t>
      </w:r>
      <w:r>
        <w:rPr>
          <w:spacing w:val="-3"/>
        </w:rPr>
        <w:t xml:space="preserve"> </w:t>
      </w:r>
      <w:r>
        <w:t>to</w:t>
      </w:r>
      <w:r>
        <w:rPr>
          <w:spacing w:val="-3"/>
        </w:rPr>
        <w:t xml:space="preserve"> </w:t>
      </w:r>
      <w:r>
        <w:t>complete,</w:t>
      </w:r>
      <w:r>
        <w:rPr>
          <w:spacing w:val="-2"/>
        </w:rPr>
        <w:t xml:space="preserve"> </w:t>
      </w:r>
      <w:r>
        <w:t>as</w:t>
      </w:r>
      <w:r>
        <w:rPr>
          <w:spacing w:val="-4"/>
        </w:rPr>
        <w:t xml:space="preserve"> </w:t>
      </w:r>
      <w:r>
        <w:t>well</w:t>
      </w:r>
      <w:r>
        <w:rPr>
          <w:spacing w:val="-4"/>
        </w:rPr>
        <w:t xml:space="preserve"> </w:t>
      </w:r>
      <w:r>
        <w:t>as most capital expenditures for non-enumerated uses of funds, Treasury requires recipients to submit their written justification as part of regular reporting. Specifically:</w:t>
      </w:r>
    </w:p>
    <w:p w14:paraId="2391491B" w14:textId="77777777" w:rsidR="005E6D84" w:rsidRDefault="005E6D84" w:rsidP="00842A00">
      <w:pPr>
        <w:pStyle w:val="BodyText"/>
        <w:spacing w:before="60"/>
        <w:ind w:right="268"/>
        <w:jc w:val="both"/>
        <w:rPr>
          <w:b/>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6"/>
        <w:gridCol w:w="3868"/>
        <w:gridCol w:w="3868"/>
      </w:tblGrid>
      <w:tr w:rsidR="0043278E" w14:paraId="4BCE1947" w14:textId="77777777" w:rsidTr="000349EF">
        <w:trPr>
          <w:trHeight w:val="1073"/>
        </w:trPr>
        <w:tc>
          <w:tcPr>
            <w:tcW w:w="1616" w:type="dxa"/>
            <w:shd w:val="clear" w:color="auto" w:fill="DEEAF6"/>
          </w:tcPr>
          <w:p w14:paraId="17AE5D77" w14:textId="77777777" w:rsidR="0043278E" w:rsidRDefault="0043278E" w:rsidP="000349EF">
            <w:pPr>
              <w:pStyle w:val="TableParagraph"/>
              <w:ind w:left="131" w:right="121"/>
              <w:jc w:val="center"/>
              <w:rPr>
                <w:b/>
              </w:rPr>
            </w:pPr>
            <w:r>
              <w:rPr>
                <w:b/>
              </w:rPr>
              <w:t>If</w:t>
            </w:r>
            <w:r>
              <w:rPr>
                <w:b/>
                <w:spacing w:val="-13"/>
              </w:rPr>
              <w:t xml:space="preserve"> </w:t>
            </w:r>
            <w:r>
              <w:rPr>
                <w:b/>
              </w:rPr>
              <w:t>a</w:t>
            </w:r>
            <w:r>
              <w:rPr>
                <w:b/>
                <w:spacing w:val="-12"/>
              </w:rPr>
              <w:t xml:space="preserve"> </w:t>
            </w:r>
            <w:r>
              <w:rPr>
                <w:b/>
              </w:rPr>
              <w:t>project</w:t>
            </w:r>
            <w:r>
              <w:rPr>
                <w:b/>
                <w:spacing w:val="-12"/>
              </w:rPr>
              <w:t xml:space="preserve"> </w:t>
            </w:r>
            <w:r>
              <w:rPr>
                <w:b/>
              </w:rPr>
              <w:t xml:space="preserve">has total capital </w:t>
            </w:r>
            <w:r>
              <w:rPr>
                <w:b/>
                <w:spacing w:val="-2"/>
              </w:rPr>
              <w:t>expenditures</w:t>
            </w:r>
          </w:p>
          <w:p w14:paraId="17444ABE" w14:textId="77777777" w:rsidR="0043278E" w:rsidRDefault="0043278E" w:rsidP="000349EF">
            <w:pPr>
              <w:pStyle w:val="TableParagraph"/>
              <w:spacing w:line="248" w:lineRule="exact"/>
              <w:ind w:left="130" w:right="121"/>
              <w:jc w:val="center"/>
              <w:rPr>
                <w:b/>
              </w:rPr>
            </w:pPr>
            <w:r>
              <w:rPr>
                <w:b/>
                <w:spacing w:val="-5"/>
              </w:rPr>
              <w:t>of</w:t>
            </w:r>
          </w:p>
        </w:tc>
        <w:tc>
          <w:tcPr>
            <w:tcW w:w="3868" w:type="dxa"/>
            <w:shd w:val="clear" w:color="auto" w:fill="DEEAF6"/>
          </w:tcPr>
          <w:p w14:paraId="31F40A74" w14:textId="77777777" w:rsidR="0043278E" w:rsidRDefault="0043278E" w:rsidP="000349EF">
            <w:pPr>
              <w:pStyle w:val="TableParagraph"/>
              <w:ind w:left="1215" w:right="14" w:hanging="1059"/>
              <w:rPr>
                <w:b/>
              </w:rPr>
            </w:pPr>
            <w:r>
              <w:rPr>
                <w:b/>
              </w:rPr>
              <w:t>and</w:t>
            </w:r>
            <w:r>
              <w:rPr>
                <w:b/>
                <w:spacing w:val="-7"/>
              </w:rPr>
              <w:t xml:space="preserve"> </w:t>
            </w:r>
            <w:r>
              <w:rPr>
                <w:b/>
              </w:rPr>
              <w:t>the</w:t>
            </w:r>
            <w:r>
              <w:rPr>
                <w:b/>
                <w:spacing w:val="-7"/>
              </w:rPr>
              <w:t xml:space="preserve"> </w:t>
            </w:r>
            <w:r>
              <w:rPr>
                <w:b/>
              </w:rPr>
              <w:t>use</w:t>
            </w:r>
            <w:r>
              <w:rPr>
                <w:b/>
                <w:spacing w:val="-6"/>
              </w:rPr>
              <w:t xml:space="preserve"> </w:t>
            </w:r>
            <w:r>
              <w:rPr>
                <w:b/>
              </w:rPr>
              <w:t>is</w:t>
            </w:r>
            <w:r>
              <w:rPr>
                <w:b/>
                <w:spacing w:val="-7"/>
              </w:rPr>
              <w:t xml:space="preserve"> </w:t>
            </w:r>
            <w:r>
              <w:rPr>
                <w:b/>
              </w:rPr>
              <w:t>enumerated</w:t>
            </w:r>
            <w:r>
              <w:rPr>
                <w:b/>
                <w:spacing w:val="-7"/>
              </w:rPr>
              <w:t xml:space="preserve"> </w:t>
            </w:r>
            <w:r>
              <w:rPr>
                <w:b/>
              </w:rPr>
              <w:t>by</w:t>
            </w:r>
            <w:r>
              <w:rPr>
                <w:b/>
                <w:spacing w:val="-7"/>
              </w:rPr>
              <w:t xml:space="preserve"> </w:t>
            </w:r>
            <w:r>
              <w:rPr>
                <w:b/>
              </w:rPr>
              <w:t>Treasury as eligible, then</w:t>
            </w:r>
          </w:p>
        </w:tc>
        <w:tc>
          <w:tcPr>
            <w:tcW w:w="3868" w:type="dxa"/>
            <w:shd w:val="clear" w:color="auto" w:fill="DEEAF6"/>
          </w:tcPr>
          <w:p w14:paraId="7A41DD27" w14:textId="77777777" w:rsidR="0043278E" w:rsidRDefault="0043278E" w:rsidP="000349EF">
            <w:pPr>
              <w:pStyle w:val="TableParagraph"/>
              <w:ind w:left="304" w:right="298" w:firstLine="4"/>
              <w:jc w:val="center"/>
              <w:rPr>
                <w:b/>
              </w:rPr>
            </w:pPr>
            <w:r>
              <w:rPr>
                <w:b/>
              </w:rPr>
              <w:t>and the use is beyond those enumerated</w:t>
            </w:r>
            <w:r>
              <w:rPr>
                <w:b/>
                <w:spacing w:val="-10"/>
              </w:rPr>
              <w:t xml:space="preserve"> </w:t>
            </w:r>
            <w:r>
              <w:rPr>
                <w:b/>
              </w:rPr>
              <w:t>by</w:t>
            </w:r>
            <w:r>
              <w:rPr>
                <w:b/>
                <w:spacing w:val="-11"/>
              </w:rPr>
              <w:t xml:space="preserve"> </w:t>
            </w:r>
            <w:r>
              <w:rPr>
                <w:b/>
              </w:rPr>
              <w:t>Treasury</w:t>
            </w:r>
            <w:r>
              <w:rPr>
                <w:b/>
                <w:spacing w:val="-11"/>
              </w:rPr>
              <w:t xml:space="preserve"> </w:t>
            </w:r>
            <w:r>
              <w:rPr>
                <w:b/>
              </w:rPr>
              <w:t>as</w:t>
            </w:r>
            <w:r>
              <w:rPr>
                <w:b/>
                <w:spacing w:val="-12"/>
              </w:rPr>
              <w:t xml:space="preserve"> </w:t>
            </w:r>
            <w:r>
              <w:rPr>
                <w:b/>
              </w:rPr>
              <w:t xml:space="preserve">eligible, </w:t>
            </w:r>
            <w:r>
              <w:rPr>
                <w:b/>
                <w:spacing w:val="-4"/>
              </w:rPr>
              <w:t>then</w:t>
            </w:r>
          </w:p>
        </w:tc>
      </w:tr>
      <w:tr w:rsidR="0043278E" w14:paraId="34C13B6E" w14:textId="77777777" w:rsidTr="000349EF">
        <w:trPr>
          <w:trHeight w:val="537"/>
        </w:trPr>
        <w:tc>
          <w:tcPr>
            <w:tcW w:w="1616" w:type="dxa"/>
          </w:tcPr>
          <w:p w14:paraId="3CAC993A" w14:textId="77777777" w:rsidR="0043278E" w:rsidRDefault="0043278E" w:rsidP="000349EF">
            <w:pPr>
              <w:pStyle w:val="TableParagraph"/>
              <w:spacing w:before="1" w:line="268" w:lineRule="exact"/>
              <w:ind w:left="127" w:right="121"/>
              <w:jc w:val="center"/>
            </w:pPr>
            <w:r>
              <w:t>Less</w:t>
            </w:r>
            <w:r>
              <w:rPr>
                <w:spacing w:val="-7"/>
              </w:rPr>
              <w:t xml:space="preserve"> </w:t>
            </w:r>
            <w:r>
              <w:t>than</w:t>
            </w:r>
            <w:r>
              <w:rPr>
                <w:spacing w:val="-8"/>
              </w:rPr>
              <w:t xml:space="preserve"> </w:t>
            </w:r>
            <w:r>
              <w:rPr>
                <w:spacing w:val="-5"/>
              </w:rPr>
              <w:t>$1</w:t>
            </w:r>
          </w:p>
          <w:p w14:paraId="447F1725" w14:textId="77777777" w:rsidR="0043278E" w:rsidRDefault="0043278E" w:rsidP="000349EF">
            <w:pPr>
              <w:pStyle w:val="TableParagraph"/>
              <w:spacing w:line="248" w:lineRule="exact"/>
              <w:ind w:left="128" w:right="121"/>
              <w:jc w:val="center"/>
            </w:pPr>
            <w:r>
              <w:rPr>
                <w:spacing w:val="-2"/>
              </w:rPr>
              <w:t>million</w:t>
            </w:r>
          </w:p>
        </w:tc>
        <w:tc>
          <w:tcPr>
            <w:tcW w:w="3868" w:type="dxa"/>
          </w:tcPr>
          <w:p w14:paraId="5AA7AE72" w14:textId="77777777" w:rsidR="0043278E" w:rsidRDefault="0043278E" w:rsidP="000349EF">
            <w:pPr>
              <w:pStyle w:val="TableParagraph"/>
              <w:spacing w:before="1"/>
              <w:ind w:left="462"/>
            </w:pPr>
            <w:r>
              <w:t>No</w:t>
            </w:r>
            <w:r>
              <w:rPr>
                <w:spacing w:val="-11"/>
              </w:rPr>
              <w:t xml:space="preserve"> </w:t>
            </w:r>
            <w:r>
              <w:t>Written</w:t>
            </w:r>
            <w:r>
              <w:rPr>
                <w:spacing w:val="-10"/>
              </w:rPr>
              <w:t xml:space="preserve"> </w:t>
            </w:r>
            <w:r>
              <w:t>Justification</w:t>
            </w:r>
            <w:r>
              <w:rPr>
                <w:spacing w:val="-11"/>
              </w:rPr>
              <w:t xml:space="preserve"> </w:t>
            </w:r>
            <w:r>
              <w:rPr>
                <w:spacing w:val="-2"/>
              </w:rPr>
              <w:t>required</w:t>
            </w:r>
          </w:p>
        </w:tc>
        <w:tc>
          <w:tcPr>
            <w:tcW w:w="3868" w:type="dxa"/>
          </w:tcPr>
          <w:p w14:paraId="6DDC3A9B" w14:textId="77777777" w:rsidR="0043278E" w:rsidRDefault="0043278E" w:rsidP="000349EF">
            <w:pPr>
              <w:pStyle w:val="TableParagraph"/>
              <w:spacing w:before="1"/>
              <w:ind w:left="462"/>
            </w:pPr>
            <w:r>
              <w:t>No</w:t>
            </w:r>
            <w:r>
              <w:rPr>
                <w:spacing w:val="-11"/>
              </w:rPr>
              <w:t xml:space="preserve"> </w:t>
            </w:r>
            <w:r>
              <w:t>Written</w:t>
            </w:r>
            <w:r>
              <w:rPr>
                <w:spacing w:val="-10"/>
              </w:rPr>
              <w:t xml:space="preserve"> </w:t>
            </w:r>
            <w:r>
              <w:t>Justification</w:t>
            </w:r>
            <w:r>
              <w:rPr>
                <w:spacing w:val="-11"/>
              </w:rPr>
              <w:t xml:space="preserve"> </w:t>
            </w:r>
            <w:r>
              <w:rPr>
                <w:spacing w:val="-2"/>
              </w:rPr>
              <w:t>required</w:t>
            </w:r>
          </w:p>
        </w:tc>
      </w:tr>
      <w:tr w:rsidR="0043278E" w14:paraId="53D4F3A4" w14:textId="77777777" w:rsidTr="000349EF">
        <w:trPr>
          <w:trHeight w:val="1343"/>
        </w:trPr>
        <w:tc>
          <w:tcPr>
            <w:tcW w:w="1616" w:type="dxa"/>
          </w:tcPr>
          <w:p w14:paraId="7411ACD2" w14:textId="77777777" w:rsidR="0043278E" w:rsidRDefault="0043278E" w:rsidP="000349EF">
            <w:pPr>
              <w:pStyle w:val="TableParagraph"/>
              <w:spacing w:line="270" w:lineRule="atLeast"/>
              <w:ind w:left="123" w:right="114"/>
              <w:jc w:val="center"/>
            </w:pPr>
            <w:r>
              <w:t>Greater</w:t>
            </w:r>
            <w:r>
              <w:rPr>
                <w:spacing w:val="-13"/>
              </w:rPr>
              <w:t xml:space="preserve"> </w:t>
            </w:r>
            <w:r>
              <w:t>than</w:t>
            </w:r>
            <w:r>
              <w:rPr>
                <w:spacing w:val="-12"/>
              </w:rPr>
              <w:t xml:space="preserve"> </w:t>
            </w:r>
            <w:r>
              <w:t>or equal to $1 million, but</w:t>
            </w:r>
            <w:r>
              <w:rPr>
                <w:spacing w:val="40"/>
              </w:rPr>
              <w:t xml:space="preserve"> </w:t>
            </w:r>
            <w:r>
              <w:t xml:space="preserve">less than $10 </w:t>
            </w:r>
            <w:r>
              <w:rPr>
                <w:spacing w:val="-2"/>
              </w:rPr>
              <w:t>million</w:t>
            </w:r>
          </w:p>
        </w:tc>
        <w:tc>
          <w:tcPr>
            <w:tcW w:w="3868" w:type="dxa"/>
          </w:tcPr>
          <w:p w14:paraId="651FE787" w14:textId="77777777" w:rsidR="0043278E" w:rsidRDefault="0043278E" w:rsidP="000349EF">
            <w:pPr>
              <w:pStyle w:val="TableParagraph"/>
            </w:pPr>
          </w:p>
          <w:p w14:paraId="14020DF9" w14:textId="77777777" w:rsidR="0043278E" w:rsidRDefault="0043278E" w:rsidP="000349EF">
            <w:pPr>
              <w:pStyle w:val="TableParagraph"/>
              <w:ind w:left="161" w:right="154" w:firstLine="1"/>
              <w:jc w:val="center"/>
            </w:pPr>
            <w:r>
              <w:t>Written Justification required but recipients</w:t>
            </w:r>
            <w:r>
              <w:rPr>
                <w:spacing w:val="-8"/>
              </w:rPr>
              <w:t xml:space="preserve"> </w:t>
            </w:r>
            <w:r>
              <w:t>are</w:t>
            </w:r>
            <w:r>
              <w:rPr>
                <w:spacing w:val="-6"/>
              </w:rPr>
              <w:t xml:space="preserve"> </w:t>
            </w:r>
            <w:r>
              <w:t>not</w:t>
            </w:r>
            <w:r>
              <w:rPr>
                <w:spacing w:val="-8"/>
              </w:rPr>
              <w:t xml:space="preserve"> </w:t>
            </w:r>
            <w:r>
              <w:t>required</w:t>
            </w:r>
            <w:r>
              <w:rPr>
                <w:spacing w:val="-7"/>
              </w:rPr>
              <w:t xml:space="preserve"> </w:t>
            </w:r>
            <w:r>
              <w:t>to</w:t>
            </w:r>
            <w:r>
              <w:rPr>
                <w:spacing w:val="-8"/>
              </w:rPr>
              <w:t xml:space="preserve"> </w:t>
            </w:r>
            <w:r>
              <w:t>submit</w:t>
            </w:r>
            <w:r>
              <w:rPr>
                <w:spacing w:val="-8"/>
              </w:rPr>
              <w:t xml:space="preserve"> </w:t>
            </w:r>
            <w:r>
              <w:t>as part of regular reporting to Treasury</w:t>
            </w:r>
          </w:p>
        </w:tc>
        <w:tc>
          <w:tcPr>
            <w:tcW w:w="3868" w:type="dxa"/>
            <w:vMerge w:val="restart"/>
          </w:tcPr>
          <w:p w14:paraId="2DDEBA76" w14:textId="77777777" w:rsidR="0043278E" w:rsidRDefault="0043278E" w:rsidP="000349EF">
            <w:pPr>
              <w:pStyle w:val="TableParagraph"/>
            </w:pPr>
          </w:p>
          <w:p w14:paraId="54A412C3" w14:textId="77777777" w:rsidR="0043278E" w:rsidRDefault="0043278E" w:rsidP="000349EF">
            <w:pPr>
              <w:pStyle w:val="TableParagraph"/>
            </w:pPr>
          </w:p>
          <w:p w14:paraId="3570B123" w14:textId="77777777" w:rsidR="0043278E" w:rsidRDefault="0043278E" w:rsidP="000349EF">
            <w:pPr>
              <w:pStyle w:val="TableParagraph"/>
              <w:rPr>
                <w:sz w:val="23"/>
              </w:rPr>
            </w:pPr>
          </w:p>
          <w:p w14:paraId="3F484D94" w14:textId="77777777" w:rsidR="0043278E" w:rsidRDefault="0043278E" w:rsidP="000349EF">
            <w:pPr>
              <w:pStyle w:val="TableParagraph"/>
              <w:spacing w:before="1"/>
              <w:ind w:left="116" w:right="111" w:firstLine="2"/>
              <w:jc w:val="center"/>
            </w:pPr>
            <w:r>
              <w:t>Written Justification required and recipients</w:t>
            </w:r>
            <w:r>
              <w:rPr>
                <w:spacing w:val="-7"/>
              </w:rPr>
              <w:t xml:space="preserve"> </w:t>
            </w:r>
            <w:r>
              <w:t>must</w:t>
            </w:r>
            <w:r>
              <w:rPr>
                <w:spacing w:val="-8"/>
              </w:rPr>
              <w:t xml:space="preserve"> </w:t>
            </w:r>
            <w:r>
              <w:t>submit</w:t>
            </w:r>
            <w:r>
              <w:rPr>
                <w:spacing w:val="-8"/>
              </w:rPr>
              <w:t xml:space="preserve"> </w:t>
            </w:r>
            <w:r>
              <w:t>as</w:t>
            </w:r>
            <w:r>
              <w:rPr>
                <w:spacing w:val="-6"/>
              </w:rPr>
              <w:t xml:space="preserve"> </w:t>
            </w:r>
            <w:r>
              <w:t>part</w:t>
            </w:r>
            <w:r>
              <w:rPr>
                <w:spacing w:val="-8"/>
              </w:rPr>
              <w:t xml:space="preserve"> </w:t>
            </w:r>
            <w:r>
              <w:t>of</w:t>
            </w:r>
            <w:r>
              <w:rPr>
                <w:spacing w:val="-8"/>
              </w:rPr>
              <w:t xml:space="preserve"> </w:t>
            </w:r>
            <w:r>
              <w:t>regular reporting to Treasury</w:t>
            </w:r>
          </w:p>
        </w:tc>
      </w:tr>
      <w:tr w:rsidR="0043278E" w14:paraId="3D3E21D6" w14:textId="77777777" w:rsidTr="000349EF">
        <w:trPr>
          <w:trHeight w:val="1082"/>
        </w:trPr>
        <w:tc>
          <w:tcPr>
            <w:tcW w:w="1616" w:type="dxa"/>
          </w:tcPr>
          <w:p w14:paraId="2B93C25B" w14:textId="77777777" w:rsidR="0043278E" w:rsidRDefault="0043278E" w:rsidP="000349EF">
            <w:pPr>
              <w:pStyle w:val="TableParagraph"/>
            </w:pPr>
          </w:p>
          <w:p w14:paraId="5E93E67D" w14:textId="77777777" w:rsidR="0043278E" w:rsidRDefault="0043278E" w:rsidP="000349EF">
            <w:pPr>
              <w:pStyle w:val="TableParagraph"/>
              <w:ind w:left="568" w:hanging="380"/>
            </w:pPr>
            <w:r>
              <w:t>$10</w:t>
            </w:r>
            <w:r>
              <w:rPr>
                <w:spacing w:val="-13"/>
              </w:rPr>
              <w:t xml:space="preserve"> </w:t>
            </w:r>
            <w:r>
              <w:t>million</w:t>
            </w:r>
            <w:r>
              <w:rPr>
                <w:spacing w:val="-12"/>
              </w:rPr>
              <w:t xml:space="preserve"> </w:t>
            </w:r>
            <w:r>
              <w:t xml:space="preserve">or </w:t>
            </w:r>
            <w:r>
              <w:rPr>
                <w:spacing w:val="-4"/>
              </w:rPr>
              <w:t>more</w:t>
            </w:r>
          </w:p>
        </w:tc>
        <w:tc>
          <w:tcPr>
            <w:tcW w:w="3868" w:type="dxa"/>
          </w:tcPr>
          <w:p w14:paraId="6AFE238C" w14:textId="77777777" w:rsidR="0043278E" w:rsidRDefault="0043278E" w:rsidP="000349EF">
            <w:pPr>
              <w:pStyle w:val="TableParagraph"/>
              <w:spacing w:before="134"/>
              <w:ind w:left="117" w:right="111" w:firstLine="2"/>
              <w:jc w:val="center"/>
            </w:pPr>
            <w:r>
              <w:t>Written Justification required and recipients</w:t>
            </w:r>
            <w:r>
              <w:rPr>
                <w:spacing w:val="-7"/>
              </w:rPr>
              <w:t xml:space="preserve"> </w:t>
            </w:r>
            <w:r>
              <w:t>must</w:t>
            </w:r>
            <w:r>
              <w:rPr>
                <w:spacing w:val="-8"/>
              </w:rPr>
              <w:t xml:space="preserve"> </w:t>
            </w:r>
            <w:r>
              <w:t>submit</w:t>
            </w:r>
            <w:r>
              <w:rPr>
                <w:spacing w:val="-8"/>
              </w:rPr>
              <w:t xml:space="preserve"> </w:t>
            </w:r>
            <w:r>
              <w:t>as</w:t>
            </w:r>
            <w:r>
              <w:rPr>
                <w:spacing w:val="-6"/>
              </w:rPr>
              <w:t xml:space="preserve"> </w:t>
            </w:r>
            <w:r>
              <w:t>part</w:t>
            </w:r>
            <w:r>
              <w:rPr>
                <w:spacing w:val="-8"/>
              </w:rPr>
              <w:t xml:space="preserve"> </w:t>
            </w:r>
            <w:r>
              <w:t>of</w:t>
            </w:r>
            <w:r>
              <w:rPr>
                <w:spacing w:val="-8"/>
              </w:rPr>
              <w:t xml:space="preserve"> </w:t>
            </w:r>
            <w:r>
              <w:t>regular reporting to Treasury</w:t>
            </w:r>
          </w:p>
        </w:tc>
        <w:tc>
          <w:tcPr>
            <w:tcW w:w="3868" w:type="dxa"/>
            <w:vMerge/>
            <w:tcBorders>
              <w:top w:val="nil"/>
            </w:tcBorders>
          </w:tcPr>
          <w:p w14:paraId="32A69F68" w14:textId="77777777" w:rsidR="0043278E" w:rsidRDefault="0043278E" w:rsidP="000349EF">
            <w:pPr>
              <w:rPr>
                <w:sz w:val="2"/>
                <w:szCs w:val="2"/>
              </w:rPr>
            </w:pPr>
          </w:p>
        </w:tc>
      </w:tr>
    </w:tbl>
    <w:p w14:paraId="2AB50B2A" w14:textId="77777777" w:rsidR="00045FB4" w:rsidRDefault="00045FB4" w:rsidP="0043278E">
      <w:pPr>
        <w:pStyle w:val="BodyText"/>
        <w:ind w:left="200"/>
      </w:pPr>
    </w:p>
    <w:p w14:paraId="7E7A072C" w14:textId="77777777" w:rsidR="00045FB4" w:rsidRDefault="00045FB4" w:rsidP="0043278E">
      <w:pPr>
        <w:pStyle w:val="BodyText"/>
        <w:ind w:left="200"/>
      </w:pPr>
    </w:p>
    <w:p w14:paraId="2A7216AD" w14:textId="77777777" w:rsidR="0043278E" w:rsidRDefault="0043278E" w:rsidP="0043278E">
      <w:pPr>
        <w:pStyle w:val="BodyText"/>
        <w:ind w:left="200"/>
      </w:pPr>
      <w:r>
        <w:t>A</w:t>
      </w:r>
      <w:r>
        <w:rPr>
          <w:spacing w:val="-7"/>
        </w:rPr>
        <w:t xml:space="preserve"> </w:t>
      </w:r>
      <w:r>
        <w:t>Written</w:t>
      </w:r>
      <w:r>
        <w:rPr>
          <w:spacing w:val="-7"/>
        </w:rPr>
        <w:t xml:space="preserve"> </w:t>
      </w:r>
      <w:r>
        <w:t>Justification</w:t>
      </w:r>
      <w:r>
        <w:rPr>
          <w:spacing w:val="-5"/>
        </w:rPr>
        <w:t xml:space="preserve"> </w:t>
      </w:r>
      <w:r>
        <w:rPr>
          <w:spacing w:val="-2"/>
        </w:rPr>
        <w:t>includes:</w:t>
      </w:r>
    </w:p>
    <w:p w14:paraId="75DCAFB4" w14:textId="77777777" w:rsidR="0043278E" w:rsidRDefault="0043278E" w:rsidP="002361D6">
      <w:pPr>
        <w:pStyle w:val="ListParagraph"/>
        <w:numPr>
          <w:ilvl w:val="1"/>
          <w:numId w:val="14"/>
        </w:numPr>
        <w:tabs>
          <w:tab w:val="left" w:pos="920"/>
          <w:tab w:val="left" w:pos="921"/>
        </w:tabs>
        <w:spacing w:before="180" w:line="259" w:lineRule="auto"/>
        <w:ind w:right="500"/>
        <w:jc w:val="both"/>
      </w:pPr>
      <w:r>
        <w:rPr>
          <w:i/>
        </w:rPr>
        <w:t xml:space="preserve">Description of the harm or need to be addressed. </w:t>
      </w:r>
      <w:r>
        <w:t>Recipients should provide a description of the specific harm or need to be addressed and why the harm was exacerbated or caused by the public</w:t>
      </w:r>
      <w:r>
        <w:rPr>
          <w:spacing w:val="-4"/>
        </w:rPr>
        <w:t xml:space="preserve"> </w:t>
      </w:r>
      <w:r>
        <w:t>health</w:t>
      </w:r>
      <w:r>
        <w:rPr>
          <w:spacing w:val="-3"/>
        </w:rPr>
        <w:t xml:space="preserve"> </w:t>
      </w:r>
      <w:r>
        <w:t>emergency.</w:t>
      </w:r>
      <w:r>
        <w:rPr>
          <w:spacing w:val="-4"/>
        </w:rPr>
        <w:t xml:space="preserve"> </w:t>
      </w:r>
      <w:r>
        <w:t>Recipients</w:t>
      </w:r>
      <w:r>
        <w:rPr>
          <w:spacing w:val="-3"/>
        </w:rPr>
        <w:t xml:space="preserve"> </w:t>
      </w:r>
      <w:r>
        <w:t>may</w:t>
      </w:r>
      <w:r>
        <w:rPr>
          <w:spacing w:val="-4"/>
        </w:rPr>
        <w:t xml:space="preserve"> </w:t>
      </w:r>
      <w:r>
        <w:t>provide</w:t>
      </w:r>
      <w:r>
        <w:rPr>
          <w:spacing w:val="-4"/>
        </w:rPr>
        <w:t xml:space="preserve"> </w:t>
      </w:r>
      <w:r>
        <w:t>quantitative</w:t>
      </w:r>
      <w:r>
        <w:rPr>
          <w:spacing w:val="-4"/>
        </w:rPr>
        <w:t xml:space="preserve"> </w:t>
      </w:r>
      <w:r>
        <w:t>information</w:t>
      </w:r>
      <w:r>
        <w:rPr>
          <w:spacing w:val="-4"/>
        </w:rPr>
        <w:t xml:space="preserve"> </w:t>
      </w:r>
      <w:r>
        <w:t>on</w:t>
      </w:r>
      <w:r>
        <w:rPr>
          <w:spacing w:val="-4"/>
        </w:rPr>
        <w:t xml:space="preserve"> </w:t>
      </w:r>
      <w:r>
        <w:t>the</w:t>
      </w:r>
      <w:r>
        <w:rPr>
          <w:spacing w:val="-4"/>
        </w:rPr>
        <w:t xml:space="preserve"> </w:t>
      </w:r>
      <w:r>
        <w:t>extent</w:t>
      </w:r>
      <w:r>
        <w:rPr>
          <w:spacing w:val="-4"/>
        </w:rPr>
        <w:t xml:space="preserve"> </w:t>
      </w:r>
      <w:r>
        <w:t>and</w:t>
      </w:r>
      <w:r>
        <w:rPr>
          <w:spacing w:val="-4"/>
        </w:rPr>
        <w:t xml:space="preserve"> </w:t>
      </w:r>
      <w:r>
        <w:t>the type of harm, such as the number of individuals or entities affected.</w:t>
      </w:r>
    </w:p>
    <w:p w14:paraId="2E4D89D2" w14:textId="77777777" w:rsidR="0043278E" w:rsidRDefault="0043278E" w:rsidP="002361D6">
      <w:pPr>
        <w:pStyle w:val="ListParagraph"/>
        <w:numPr>
          <w:ilvl w:val="1"/>
          <w:numId w:val="14"/>
        </w:numPr>
        <w:tabs>
          <w:tab w:val="left" w:pos="921"/>
        </w:tabs>
        <w:spacing w:before="86" w:line="259" w:lineRule="auto"/>
        <w:ind w:right="650"/>
        <w:jc w:val="both"/>
      </w:pPr>
      <w:r>
        <w:rPr>
          <w:i/>
        </w:rPr>
        <w:t>Explanation</w:t>
      </w:r>
      <w:r>
        <w:rPr>
          <w:i/>
          <w:spacing w:val="-3"/>
        </w:rPr>
        <w:t xml:space="preserve"> </w:t>
      </w:r>
      <w:r>
        <w:rPr>
          <w:i/>
        </w:rPr>
        <w:t>of</w:t>
      </w:r>
      <w:r>
        <w:rPr>
          <w:i/>
          <w:spacing w:val="-3"/>
        </w:rPr>
        <w:t xml:space="preserve"> </w:t>
      </w:r>
      <w:r>
        <w:rPr>
          <w:i/>
        </w:rPr>
        <w:t>why</w:t>
      </w:r>
      <w:r>
        <w:rPr>
          <w:i/>
          <w:spacing w:val="-3"/>
        </w:rPr>
        <w:t xml:space="preserve"> </w:t>
      </w:r>
      <w:r>
        <w:rPr>
          <w:i/>
        </w:rPr>
        <w:t>a</w:t>
      </w:r>
      <w:r>
        <w:rPr>
          <w:i/>
          <w:spacing w:val="-2"/>
        </w:rPr>
        <w:t xml:space="preserve"> </w:t>
      </w:r>
      <w:r>
        <w:rPr>
          <w:i/>
        </w:rPr>
        <w:t>capital</w:t>
      </w:r>
      <w:r>
        <w:rPr>
          <w:i/>
          <w:spacing w:val="-2"/>
        </w:rPr>
        <w:t xml:space="preserve"> </w:t>
      </w:r>
      <w:r>
        <w:rPr>
          <w:i/>
        </w:rPr>
        <w:t>expenditure</w:t>
      </w:r>
      <w:r>
        <w:rPr>
          <w:i/>
          <w:spacing w:val="-4"/>
        </w:rPr>
        <w:t xml:space="preserve"> </w:t>
      </w:r>
      <w:r>
        <w:rPr>
          <w:i/>
        </w:rPr>
        <w:t>is</w:t>
      </w:r>
      <w:r>
        <w:rPr>
          <w:i/>
          <w:spacing w:val="-2"/>
        </w:rPr>
        <w:t xml:space="preserve"> </w:t>
      </w:r>
      <w:r>
        <w:rPr>
          <w:i/>
        </w:rPr>
        <w:t>appropriate.</w:t>
      </w:r>
      <w:r>
        <w:rPr>
          <w:i/>
          <w:spacing w:val="-2"/>
        </w:rPr>
        <w:t xml:space="preserve"> </w:t>
      </w:r>
      <w:r>
        <w:t>For</w:t>
      </w:r>
      <w:r>
        <w:rPr>
          <w:spacing w:val="-2"/>
        </w:rPr>
        <w:t xml:space="preserve"> </w:t>
      </w:r>
      <w:r>
        <w:t>example,</w:t>
      </w:r>
      <w:r>
        <w:rPr>
          <w:spacing w:val="-3"/>
        </w:rPr>
        <w:t xml:space="preserve"> </w:t>
      </w:r>
      <w:r>
        <w:t>recipients</w:t>
      </w:r>
      <w:r>
        <w:rPr>
          <w:spacing w:val="-3"/>
        </w:rPr>
        <w:t xml:space="preserve"> </w:t>
      </w:r>
      <w:r>
        <w:t>should</w:t>
      </w:r>
      <w:r>
        <w:rPr>
          <w:spacing w:val="-3"/>
        </w:rPr>
        <w:t xml:space="preserve"> </w:t>
      </w:r>
      <w:r>
        <w:t>include an</w:t>
      </w:r>
      <w:r>
        <w:rPr>
          <w:spacing w:val="-4"/>
        </w:rPr>
        <w:t xml:space="preserve"> </w:t>
      </w:r>
      <w:r>
        <w:t>explanation</w:t>
      </w:r>
      <w:r>
        <w:rPr>
          <w:spacing w:val="-4"/>
        </w:rPr>
        <w:t xml:space="preserve"> </w:t>
      </w:r>
      <w:r>
        <w:t>of</w:t>
      </w:r>
      <w:r>
        <w:rPr>
          <w:spacing w:val="-4"/>
        </w:rPr>
        <w:t xml:space="preserve"> </w:t>
      </w:r>
      <w:r>
        <w:t>why</w:t>
      </w:r>
      <w:r>
        <w:rPr>
          <w:spacing w:val="-2"/>
        </w:rPr>
        <w:t xml:space="preserve"> </w:t>
      </w:r>
      <w:r>
        <w:t>existing</w:t>
      </w:r>
      <w:r>
        <w:rPr>
          <w:spacing w:val="-4"/>
        </w:rPr>
        <w:t xml:space="preserve"> </w:t>
      </w:r>
      <w:r>
        <w:t>equipment</w:t>
      </w:r>
      <w:r>
        <w:rPr>
          <w:spacing w:val="-5"/>
        </w:rPr>
        <w:t xml:space="preserve"> </w:t>
      </w:r>
      <w:r>
        <w:t>and</w:t>
      </w:r>
      <w:r>
        <w:rPr>
          <w:spacing w:val="-4"/>
        </w:rPr>
        <w:t xml:space="preserve"> </w:t>
      </w:r>
      <w:r>
        <w:t>facilities,</w:t>
      </w:r>
      <w:r>
        <w:rPr>
          <w:spacing w:val="-3"/>
        </w:rPr>
        <w:t xml:space="preserve"> </w:t>
      </w:r>
      <w:r>
        <w:t>or</w:t>
      </w:r>
      <w:r>
        <w:rPr>
          <w:spacing w:val="-4"/>
        </w:rPr>
        <w:t xml:space="preserve"> </w:t>
      </w:r>
      <w:r>
        <w:t>policy</w:t>
      </w:r>
      <w:r>
        <w:rPr>
          <w:spacing w:val="-3"/>
        </w:rPr>
        <w:t xml:space="preserve"> </w:t>
      </w:r>
      <w:r>
        <w:t>changes</w:t>
      </w:r>
      <w:r>
        <w:rPr>
          <w:spacing w:val="-4"/>
        </w:rPr>
        <w:t xml:space="preserve"> </w:t>
      </w:r>
      <w:r>
        <w:t>or</w:t>
      </w:r>
      <w:r>
        <w:rPr>
          <w:spacing w:val="-4"/>
        </w:rPr>
        <w:t xml:space="preserve"> </w:t>
      </w:r>
      <w:r>
        <w:t>additional</w:t>
      </w:r>
      <w:r>
        <w:rPr>
          <w:spacing w:val="-4"/>
        </w:rPr>
        <w:t xml:space="preserve"> </w:t>
      </w:r>
      <w:r>
        <w:t>funding to pertinent programs or services, would be inadequate.</w:t>
      </w:r>
    </w:p>
    <w:p w14:paraId="6FAD19D3" w14:textId="77777777" w:rsidR="0043278E" w:rsidRPr="0043278E" w:rsidRDefault="0043278E" w:rsidP="002361D6">
      <w:pPr>
        <w:pStyle w:val="ListParagraph"/>
        <w:tabs>
          <w:tab w:val="left" w:pos="920"/>
          <w:tab w:val="left" w:pos="921"/>
        </w:tabs>
        <w:spacing w:before="0" w:line="259" w:lineRule="auto"/>
        <w:ind w:left="920" w:right="550"/>
        <w:jc w:val="both"/>
      </w:pPr>
    </w:p>
    <w:p w14:paraId="5EC49A01" w14:textId="77777777" w:rsidR="0043278E" w:rsidRDefault="0043278E" w:rsidP="002361D6">
      <w:pPr>
        <w:pStyle w:val="ListParagraph"/>
        <w:numPr>
          <w:ilvl w:val="1"/>
          <w:numId w:val="14"/>
        </w:numPr>
        <w:tabs>
          <w:tab w:val="left" w:pos="920"/>
          <w:tab w:val="left" w:pos="921"/>
        </w:tabs>
        <w:spacing w:before="0" w:line="259" w:lineRule="auto"/>
        <w:ind w:right="550"/>
        <w:jc w:val="both"/>
      </w:pPr>
      <w:r>
        <w:rPr>
          <w:i/>
        </w:rPr>
        <w:t>Comparison</w:t>
      </w:r>
      <w:r>
        <w:rPr>
          <w:i/>
          <w:spacing w:val="-4"/>
        </w:rPr>
        <w:t xml:space="preserve"> </w:t>
      </w:r>
      <w:r>
        <w:rPr>
          <w:i/>
        </w:rPr>
        <w:t>of</w:t>
      </w:r>
      <w:r>
        <w:rPr>
          <w:i/>
          <w:spacing w:val="-5"/>
        </w:rPr>
        <w:t xml:space="preserve"> </w:t>
      </w:r>
      <w:r>
        <w:rPr>
          <w:i/>
        </w:rPr>
        <w:t>proposed</w:t>
      </w:r>
      <w:r>
        <w:rPr>
          <w:i/>
          <w:spacing w:val="-4"/>
        </w:rPr>
        <w:t xml:space="preserve"> </w:t>
      </w:r>
      <w:r>
        <w:rPr>
          <w:i/>
        </w:rPr>
        <w:t>capital</w:t>
      </w:r>
      <w:r>
        <w:rPr>
          <w:i/>
          <w:spacing w:val="-4"/>
        </w:rPr>
        <w:t xml:space="preserve"> </w:t>
      </w:r>
      <w:r>
        <w:rPr>
          <w:i/>
        </w:rPr>
        <w:t>project</w:t>
      </w:r>
      <w:r>
        <w:rPr>
          <w:i/>
          <w:spacing w:val="-4"/>
        </w:rPr>
        <w:t xml:space="preserve"> </w:t>
      </w:r>
      <w:r>
        <w:rPr>
          <w:i/>
        </w:rPr>
        <w:t>against</w:t>
      </w:r>
      <w:r>
        <w:rPr>
          <w:i/>
          <w:spacing w:val="-4"/>
        </w:rPr>
        <w:t xml:space="preserve"> </w:t>
      </w:r>
      <w:r>
        <w:rPr>
          <w:i/>
        </w:rPr>
        <w:t>at</w:t>
      </w:r>
      <w:r>
        <w:rPr>
          <w:i/>
          <w:spacing w:val="-5"/>
        </w:rPr>
        <w:t xml:space="preserve"> </w:t>
      </w:r>
      <w:r>
        <w:rPr>
          <w:i/>
        </w:rPr>
        <w:t>least</w:t>
      </w:r>
      <w:r>
        <w:rPr>
          <w:i/>
          <w:spacing w:val="-4"/>
        </w:rPr>
        <w:t xml:space="preserve"> </w:t>
      </w:r>
      <w:r>
        <w:rPr>
          <w:i/>
        </w:rPr>
        <w:t>two</w:t>
      </w:r>
      <w:r>
        <w:rPr>
          <w:i/>
          <w:spacing w:val="-3"/>
        </w:rPr>
        <w:t xml:space="preserve"> </w:t>
      </w:r>
      <w:r>
        <w:rPr>
          <w:i/>
        </w:rPr>
        <w:t>alternative</w:t>
      </w:r>
      <w:r>
        <w:rPr>
          <w:i/>
          <w:spacing w:val="-5"/>
        </w:rPr>
        <w:t xml:space="preserve"> </w:t>
      </w:r>
      <w:r>
        <w:rPr>
          <w:i/>
        </w:rPr>
        <w:t>capital</w:t>
      </w:r>
      <w:r>
        <w:rPr>
          <w:i/>
          <w:spacing w:val="-1"/>
        </w:rPr>
        <w:t xml:space="preserve"> </w:t>
      </w:r>
      <w:r>
        <w:rPr>
          <w:i/>
        </w:rPr>
        <w:t>expenditures</w:t>
      </w:r>
      <w:r>
        <w:rPr>
          <w:i/>
          <w:spacing w:val="-4"/>
        </w:rPr>
        <w:t xml:space="preserve"> </w:t>
      </w:r>
      <w:r>
        <w:rPr>
          <w:i/>
        </w:rPr>
        <w:t xml:space="preserve">and demonstration of why the proposed capital expenditure is superior. </w:t>
      </w:r>
      <w:r>
        <w:t xml:space="preserve">Recipients should consider the effectiveness of the capital expenditure in addressing the harm identified and the expected total cost (including pre-development costs) against at least two alternative capital </w:t>
      </w:r>
      <w:r>
        <w:rPr>
          <w:spacing w:val="-2"/>
        </w:rPr>
        <w:t>expenditures.</w:t>
      </w:r>
    </w:p>
    <w:p w14:paraId="3754F700" w14:textId="77777777" w:rsidR="00D36948" w:rsidRDefault="00D36948" w:rsidP="002361D6">
      <w:pPr>
        <w:pStyle w:val="BodyText"/>
        <w:spacing w:before="159" w:line="259" w:lineRule="auto"/>
        <w:ind w:left="200" w:right="531"/>
        <w:jc w:val="both"/>
      </w:pPr>
      <w:r>
        <w:t>Where</w:t>
      </w:r>
      <w:r>
        <w:rPr>
          <w:spacing w:val="-4"/>
        </w:rPr>
        <w:t xml:space="preserve"> </w:t>
      </w:r>
      <w:r>
        <w:t>relevant,</w:t>
      </w:r>
      <w:r>
        <w:rPr>
          <w:spacing w:val="-4"/>
        </w:rPr>
        <w:t xml:space="preserve"> </w:t>
      </w:r>
      <w:r>
        <w:t>recipients</w:t>
      </w:r>
      <w:r>
        <w:rPr>
          <w:spacing w:val="-4"/>
        </w:rPr>
        <w:t xml:space="preserve"> </w:t>
      </w:r>
      <w:r>
        <w:t>should</w:t>
      </w:r>
      <w:r>
        <w:rPr>
          <w:spacing w:val="-4"/>
        </w:rPr>
        <w:t xml:space="preserve"> </w:t>
      </w:r>
      <w:r>
        <w:t>consider</w:t>
      </w:r>
      <w:r>
        <w:rPr>
          <w:spacing w:val="-4"/>
        </w:rPr>
        <w:t xml:space="preserve"> </w:t>
      </w:r>
      <w:r>
        <w:t>the</w:t>
      </w:r>
      <w:r>
        <w:rPr>
          <w:spacing w:val="-4"/>
        </w:rPr>
        <w:t xml:space="preserve"> </w:t>
      </w:r>
      <w:r>
        <w:t>alternatives</w:t>
      </w:r>
      <w:r>
        <w:rPr>
          <w:spacing w:val="-4"/>
        </w:rPr>
        <w:t xml:space="preserve"> </w:t>
      </w:r>
      <w:r>
        <w:t>of</w:t>
      </w:r>
      <w:r>
        <w:rPr>
          <w:spacing w:val="-4"/>
        </w:rPr>
        <w:t xml:space="preserve"> </w:t>
      </w:r>
      <w:r>
        <w:t>improving</w:t>
      </w:r>
      <w:r>
        <w:rPr>
          <w:spacing w:val="-4"/>
        </w:rPr>
        <w:t xml:space="preserve"> </w:t>
      </w:r>
      <w:r>
        <w:t>existing</w:t>
      </w:r>
      <w:r>
        <w:rPr>
          <w:spacing w:val="-4"/>
        </w:rPr>
        <w:t xml:space="preserve"> </w:t>
      </w:r>
      <w:r>
        <w:t>capital</w:t>
      </w:r>
      <w:r>
        <w:rPr>
          <w:spacing w:val="-4"/>
        </w:rPr>
        <w:t xml:space="preserve"> </w:t>
      </w:r>
      <w:r>
        <w:t>assets</w:t>
      </w:r>
      <w:r>
        <w:rPr>
          <w:spacing w:val="-4"/>
        </w:rPr>
        <w:t xml:space="preserve"> </w:t>
      </w:r>
      <w:r>
        <w:t>already owned or leasing other capital assets.</w:t>
      </w:r>
    </w:p>
    <w:p w14:paraId="51947E49" w14:textId="77777777" w:rsidR="00D36948" w:rsidRDefault="00D36948" w:rsidP="002361D6">
      <w:pPr>
        <w:pStyle w:val="BodyText"/>
        <w:spacing w:before="159"/>
        <w:ind w:left="200"/>
        <w:jc w:val="both"/>
      </w:pPr>
      <w:r>
        <w:t>Treasury</w:t>
      </w:r>
      <w:r>
        <w:rPr>
          <w:spacing w:val="-10"/>
        </w:rPr>
        <w:t xml:space="preserve"> </w:t>
      </w:r>
      <w:r>
        <w:t>presumes</w:t>
      </w:r>
      <w:r>
        <w:rPr>
          <w:spacing w:val="-8"/>
        </w:rPr>
        <w:t xml:space="preserve"> </w:t>
      </w:r>
      <w:r>
        <w:t>that</w:t>
      </w:r>
      <w:r>
        <w:rPr>
          <w:spacing w:val="-8"/>
        </w:rPr>
        <w:t xml:space="preserve"> </w:t>
      </w:r>
      <w:r>
        <w:t>the</w:t>
      </w:r>
      <w:r>
        <w:rPr>
          <w:spacing w:val="-8"/>
        </w:rPr>
        <w:t xml:space="preserve"> </w:t>
      </w:r>
      <w:r>
        <w:t>following</w:t>
      </w:r>
      <w:r>
        <w:rPr>
          <w:spacing w:val="-9"/>
        </w:rPr>
        <w:t xml:space="preserve"> </w:t>
      </w:r>
      <w:r>
        <w:t>capital</w:t>
      </w:r>
      <w:r>
        <w:rPr>
          <w:spacing w:val="-10"/>
        </w:rPr>
        <w:t xml:space="preserve"> </w:t>
      </w:r>
      <w:r>
        <w:t>projects</w:t>
      </w:r>
      <w:r>
        <w:rPr>
          <w:spacing w:val="-9"/>
        </w:rPr>
        <w:t xml:space="preserve"> </w:t>
      </w:r>
      <w:r>
        <w:t>are</w:t>
      </w:r>
      <w:r>
        <w:rPr>
          <w:spacing w:val="-8"/>
        </w:rPr>
        <w:t xml:space="preserve"> </w:t>
      </w:r>
      <w:r>
        <w:t>generally</w:t>
      </w:r>
      <w:r>
        <w:rPr>
          <w:spacing w:val="-8"/>
        </w:rPr>
        <w:t xml:space="preserve"> </w:t>
      </w:r>
      <w:r>
        <w:rPr>
          <w:spacing w:val="-2"/>
        </w:rPr>
        <w:t>ineligible:</w:t>
      </w:r>
    </w:p>
    <w:p w14:paraId="48BD94B4" w14:textId="77777777" w:rsidR="00D36948" w:rsidRDefault="00D36948" w:rsidP="002361D6">
      <w:pPr>
        <w:pStyle w:val="BodyText"/>
        <w:tabs>
          <w:tab w:val="left" w:pos="753"/>
        </w:tabs>
        <w:spacing w:before="182"/>
        <w:ind w:left="753" w:right="120" w:hanging="360"/>
        <w:jc w:val="both"/>
      </w:pPr>
      <w:r>
        <w:rPr>
          <w:rFonts w:ascii="Wingdings" w:hAnsi="Wingdings"/>
          <w:spacing w:val="-10"/>
          <w:sz w:val="20"/>
        </w:rPr>
        <w:t></w:t>
      </w:r>
      <w:r>
        <w:tab/>
        <w:t>Construction of new correctional facilities</w:t>
      </w:r>
      <w:r>
        <w:rPr>
          <w:spacing w:val="-6"/>
        </w:rPr>
        <w:t xml:space="preserve"> </w:t>
      </w:r>
      <w:r>
        <w:t>as</w:t>
      </w:r>
      <w:r>
        <w:rPr>
          <w:spacing w:val="-5"/>
        </w:rPr>
        <w:t xml:space="preserve"> </w:t>
      </w:r>
      <w:r>
        <w:t>a</w:t>
      </w:r>
      <w:r>
        <w:rPr>
          <w:spacing w:val="-5"/>
        </w:rPr>
        <w:t xml:space="preserve"> </w:t>
      </w:r>
      <w:r>
        <w:t>response</w:t>
      </w:r>
      <w:r>
        <w:rPr>
          <w:spacing w:val="-6"/>
        </w:rPr>
        <w:t xml:space="preserve"> </w:t>
      </w:r>
      <w:r>
        <w:t>to</w:t>
      </w:r>
      <w:r>
        <w:rPr>
          <w:spacing w:val="-6"/>
        </w:rPr>
        <w:t xml:space="preserve"> </w:t>
      </w:r>
      <w:r>
        <w:t>an</w:t>
      </w:r>
      <w:r>
        <w:rPr>
          <w:spacing w:val="-6"/>
        </w:rPr>
        <w:t xml:space="preserve"> </w:t>
      </w:r>
      <w:r>
        <w:t>increase</w:t>
      </w:r>
      <w:r>
        <w:rPr>
          <w:spacing w:val="-5"/>
        </w:rPr>
        <w:t xml:space="preserve"> </w:t>
      </w:r>
      <w:r>
        <w:t>in rate of crime</w:t>
      </w:r>
    </w:p>
    <w:p w14:paraId="2BFEA398" w14:textId="77777777" w:rsidR="00D36948" w:rsidRDefault="00D36948" w:rsidP="002361D6">
      <w:pPr>
        <w:pStyle w:val="BodyText"/>
        <w:tabs>
          <w:tab w:val="left" w:pos="753"/>
        </w:tabs>
        <w:ind w:left="753" w:hanging="360"/>
        <w:jc w:val="both"/>
      </w:pPr>
      <w:r>
        <w:rPr>
          <w:rFonts w:ascii="Wingdings" w:hAnsi="Wingdings"/>
          <w:spacing w:val="-10"/>
          <w:sz w:val="20"/>
        </w:rPr>
        <w:t></w:t>
      </w:r>
      <w:r>
        <w:rPr>
          <w:sz w:val="20"/>
        </w:rPr>
        <w:tab/>
      </w:r>
      <w:r>
        <w:t>Construction of new congregate</w:t>
      </w:r>
      <w:r>
        <w:rPr>
          <w:spacing w:val="40"/>
        </w:rPr>
        <w:t xml:space="preserve"> </w:t>
      </w:r>
      <w:r>
        <w:t>facilities</w:t>
      </w:r>
      <w:r>
        <w:rPr>
          <w:spacing w:val="-8"/>
        </w:rPr>
        <w:t xml:space="preserve"> </w:t>
      </w:r>
      <w:r>
        <w:t>to</w:t>
      </w:r>
      <w:r>
        <w:rPr>
          <w:spacing w:val="-9"/>
        </w:rPr>
        <w:t xml:space="preserve"> </w:t>
      </w:r>
      <w:r>
        <w:t>decrease</w:t>
      </w:r>
      <w:r>
        <w:rPr>
          <w:spacing w:val="-8"/>
        </w:rPr>
        <w:t xml:space="preserve"> </w:t>
      </w:r>
      <w:r>
        <w:t>spread</w:t>
      </w:r>
      <w:r>
        <w:rPr>
          <w:spacing w:val="-9"/>
        </w:rPr>
        <w:t xml:space="preserve"> </w:t>
      </w:r>
      <w:r>
        <w:t>of</w:t>
      </w:r>
      <w:r>
        <w:rPr>
          <w:spacing w:val="-8"/>
        </w:rPr>
        <w:t xml:space="preserve"> </w:t>
      </w:r>
      <w:r>
        <w:t>COVID-19 in the facility</w:t>
      </w:r>
    </w:p>
    <w:p w14:paraId="62D6CEC4" w14:textId="77777777" w:rsidR="00D36948" w:rsidRDefault="00D36948" w:rsidP="002361D6">
      <w:pPr>
        <w:pStyle w:val="BodyText"/>
        <w:tabs>
          <w:tab w:val="left" w:pos="720"/>
        </w:tabs>
        <w:ind w:left="720" w:right="1432" w:hanging="360"/>
        <w:jc w:val="both"/>
      </w:pPr>
      <w:r>
        <w:rPr>
          <w:rFonts w:ascii="Wingdings" w:hAnsi="Wingdings"/>
          <w:spacing w:val="-10"/>
        </w:rPr>
        <w:t></w:t>
      </w:r>
      <w:r>
        <w:tab/>
        <w:t>Construction of convention centers, stadiums,</w:t>
      </w:r>
      <w:r>
        <w:rPr>
          <w:spacing w:val="-9"/>
        </w:rPr>
        <w:t xml:space="preserve"> </w:t>
      </w:r>
      <w:r>
        <w:t>or</w:t>
      </w:r>
      <w:r>
        <w:rPr>
          <w:spacing w:val="-9"/>
        </w:rPr>
        <w:t xml:space="preserve"> </w:t>
      </w:r>
      <w:r>
        <w:t>other</w:t>
      </w:r>
      <w:r>
        <w:rPr>
          <w:spacing w:val="-9"/>
        </w:rPr>
        <w:t xml:space="preserve"> </w:t>
      </w:r>
      <w:r>
        <w:t>large</w:t>
      </w:r>
      <w:r>
        <w:rPr>
          <w:spacing w:val="-8"/>
        </w:rPr>
        <w:t xml:space="preserve"> </w:t>
      </w:r>
      <w:r>
        <w:t>capital</w:t>
      </w:r>
      <w:r>
        <w:rPr>
          <w:spacing w:val="-9"/>
        </w:rPr>
        <w:t xml:space="preserve"> </w:t>
      </w:r>
      <w:r>
        <w:t xml:space="preserve">projects intended for general economic development or to aid impacted </w:t>
      </w:r>
      <w:r>
        <w:rPr>
          <w:spacing w:val="-2"/>
        </w:rPr>
        <w:t>industries</w:t>
      </w:r>
    </w:p>
    <w:p w14:paraId="65C71928" w14:textId="77777777" w:rsidR="005E6D84" w:rsidRDefault="005E6D84" w:rsidP="002361D6">
      <w:pPr>
        <w:pStyle w:val="BodyText"/>
        <w:spacing w:before="60"/>
        <w:ind w:right="268"/>
        <w:jc w:val="both"/>
        <w:rPr>
          <w:b/>
        </w:rPr>
      </w:pPr>
    </w:p>
    <w:p w14:paraId="221CF936" w14:textId="77777777" w:rsidR="00D36948" w:rsidRDefault="00D36948" w:rsidP="002361D6">
      <w:pPr>
        <w:pStyle w:val="BodyText"/>
        <w:spacing w:before="1" w:line="259" w:lineRule="auto"/>
        <w:ind w:left="200" w:right="522"/>
        <w:jc w:val="both"/>
      </w:pPr>
      <w:r>
        <w:t>In</w:t>
      </w:r>
      <w:r>
        <w:rPr>
          <w:spacing w:val="-4"/>
        </w:rPr>
        <w:t xml:space="preserve"> </w:t>
      </w:r>
      <w:r>
        <w:t>undertaking</w:t>
      </w:r>
      <w:r>
        <w:rPr>
          <w:spacing w:val="-4"/>
        </w:rPr>
        <w:t xml:space="preserve"> </w:t>
      </w:r>
      <w:r>
        <w:t>capital</w:t>
      </w:r>
      <w:r>
        <w:rPr>
          <w:spacing w:val="-4"/>
        </w:rPr>
        <w:t xml:space="preserve"> </w:t>
      </w:r>
      <w:r>
        <w:t>expenditures,</w:t>
      </w:r>
      <w:r>
        <w:rPr>
          <w:spacing w:val="-4"/>
        </w:rPr>
        <w:t xml:space="preserve"> </w:t>
      </w:r>
      <w:r>
        <w:t>Treasury</w:t>
      </w:r>
      <w:r>
        <w:rPr>
          <w:spacing w:val="-4"/>
        </w:rPr>
        <w:t xml:space="preserve"> </w:t>
      </w:r>
      <w:r>
        <w:t>encourages</w:t>
      </w:r>
      <w:r>
        <w:rPr>
          <w:spacing w:val="-4"/>
        </w:rPr>
        <w:t xml:space="preserve"> </w:t>
      </w:r>
      <w:r>
        <w:t>recipients</w:t>
      </w:r>
      <w:r>
        <w:rPr>
          <w:spacing w:val="-4"/>
        </w:rPr>
        <w:t xml:space="preserve"> </w:t>
      </w:r>
      <w:r>
        <w:t>to</w:t>
      </w:r>
      <w:r>
        <w:rPr>
          <w:spacing w:val="-4"/>
        </w:rPr>
        <w:t xml:space="preserve"> </w:t>
      </w:r>
      <w:r>
        <w:t>adhere</w:t>
      </w:r>
      <w:r>
        <w:rPr>
          <w:spacing w:val="-4"/>
        </w:rPr>
        <w:t xml:space="preserve"> </w:t>
      </w:r>
      <w:r>
        <w:t>to</w:t>
      </w:r>
      <w:r>
        <w:rPr>
          <w:spacing w:val="-4"/>
        </w:rPr>
        <w:t xml:space="preserve"> </w:t>
      </w:r>
      <w:r>
        <w:t>strong</w:t>
      </w:r>
      <w:r>
        <w:rPr>
          <w:spacing w:val="-4"/>
        </w:rPr>
        <w:t xml:space="preserve"> </w:t>
      </w:r>
      <w:r>
        <w:t>labor</w:t>
      </w:r>
      <w:r>
        <w:rPr>
          <w:spacing w:val="-4"/>
        </w:rPr>
        <w:t xml:space="preserve"> </w:t>
      </w:r>
      <w:r>
        <w:t>standards, including project labor agreements and community benefits agreements that offer wages at or above the prevailing rate and include local hire provisions. Treasury also encourages recipients to prioritize in their procurements employers with high labor standards and to prioritize employers without recent violations of federal and state labor and employment laws.</w:t>
      </w:r>
    </w:p>
    <w:p w14:paraId="4C9152C0" w14:textId="77777777" w:rsidR="005E6D84" w:rsidRDefault="005E6D84" w:rsidP="002361D6">
      <w:pPr>
        <w:pStyle w:val="BodyText"/>
        <w:spacing w:before="60"/>
        <w:ind w:right="268"/>
        <w:jc w:val="both"/>
        <w:rPr>
          <w:b/>
        </w:rPr>
      </w:pPr>
    </w:p>
    <w:p w14:paraId="59F12BC7" w14:textId="3BA375C4" w:rsidR="00A74405" w:rsidRDefault="00A74405" w:rsidP="003877CE">
      <w:pPr>
        <w:pStyle w:val="BodyText"/>
        <w:spacing w:before="60"/>
        <w:ind w:right="268"/>
        <w:jc w:val="both"/>
        <w:rPr>
          <w:b/>
        </w:rPr>
      </w:pPr>
      <w:r w:rsidRPr="00A74405">
        <w:rPr>
          <w:b/>
        </w:rPr>
        <w:t>Other Federal Requirements</w:t>
      </w:r>
    </w:p>
    <w:p w14:paraId="08E9B4BA" w14:textId="758201C9" w:rsidR="00A74405" w:rsidRDefault="00A74405" w:rsidP="003877CE">
      <w:pPr>
        <w:pStyle w:val="BodyText"/>
        <w:spacing w:before="60"/>
        <w:ind w:right="268"/>
        <w:jc w:val="both"/>
        <w:rPr>
          <w:b/>
        </w:rPr>
      </w:pPr>
    </w:p>
    <w:p w14:paraId="178B787A" w14:textId="44246F0A" w:rsidR="002C275C" w:rsidRPr="00A74405" w:rsidRDefault="002C275C" w:rsidP="003877CE">
      <w:pPr>
        <w:pStyle w:val="BodyText"/>
        <w:spacing w:before="60"/>
        <w:ind w:right="268"/>
        <w:jc w:val="both"/>
        <w:rPr>
          <w:b/>
        </w:rPr>
      </w:pPr>
      <w:r>
        <w:rPr>
          <w:color w:val="000000" w:themeColor="text1"/>
          <w:spacing w:val="-2"/>
        </w:rPr>
        <w:t>PROCUREMENT</w:t>
      </w:r>
    </w:p>
    <w:p w14:paraId="4A04F984" w14:textId="77777777" w:rsidR="002C275C" w:rsidRDefault="002C275C" w:rsidP="003877CE">
      <w:pPr>
        <w:pStyle w:val="BodyText"/>
        <w:spacing w:before="1" w:line="259" w:lineRule="auto"/>
        <w:ind w:left="200" w:right="522"/>
        <w:jc w:val="both"/>
      </w:pPr>
    </w:p>
    <w:p w14:paraId="14295507" w14:textId="0A34AD5D" w:rsidR="00A74405" w:rsidRDefault="00A74405" w:rsidP="003877CE">
      <w:pPr>
        <w:pStyle w:val="BodyText"/>
        <w:spacing w:before="1" w:line="259" w:lineRule="auto"/>
        <w:ind w:left="200" w:right="522"/>
        <w:jc w:val="both"/>
      </w:pPr>
      <w:r>
        <w:t>Entities must be careful to follow all requirements of 2 CFR 200.317-327.  These provisions should be thoroughly reviewed prior to initiating any purchases.  The requirements include:</w:t>
      </w:r>
    </w:p>
    <w:p w14:paraId="10AF97F5" w14:textId="02A32FCF" w:rsidR="00A74405" w:rsidRDefault="00A74405" w:rsidP="00A74405">
      <w:pPr>
        <w:pStyle w:val="BodyText"/>
        <w:numPr>
          <w:ilvl w:val="0"/>
          <w:numId w:val="15"/>
        </w:numPr>
        <w:spacing w:before="140"/>
        <w:jc w:val="both"/>
      </w:pPr>
      <w:r>
        <w:t>general procurement standards</w:t>
      </w:r>
      <w:r w:rsidR="00534BB7">
        <w:t xml:space="preserve"> and</w:t>
      </w:r>
      <w:r>
        <w:t xml:space="preserve"> the thresholds for competitive bidding</w:t>
      </w:r>
      <w:r w:rsidR="00534BB7">
        <w:t>,</w:t>
      </w:r>
      <w:r>
        <w:t xml:space="preserve"> </w:t>
      </w:r>
    </w:p>
    <w:p w14:paraId="3B653E23" w14:textId="77777777" w:rsidR="00A74405" w:rsidRDefault="00A74405" w:rsidP="00A74405">
      <w:pPr>
        <w:pStyle w:val="BodyText"/>
        <w:numPr>
          <w:ilvl w:val="0"/>
          <w:numId w:val="15"/>
        </w:numPr>
        <w:spacing w:before="140"/>
        <w:jc w:val="both"/>
      </w:pPr>
      <w:r>
        <w:t xml:space="preserve">various methods of procurement, </w:t>
      </w:r>
    </w:p>
    <w:p w14:paraId="360D9E08" w14:textId="77777777" w:rsidR="00A74405" w:rsidRDefault="00A74405" w:rsidP="00A74405">
      <w:pPr>
        <w:pStyle w:val="BodyText"/>
        <w:numPr>
          <w:ilvl w:val="0"/>
          <w:numId w:val="15"/>
        </w:numPr>
        <w:spacing w:before="140"/>
        <w:jc w:val="both"/>
      </w:pPr>
      <w:r>
        <w:t xml:space="preserve">affirmative solicitation of small and minority businesses, women’s business enterprises, and labor surplus area firms, </w:t>
      </w:r>
    </w:p>
    <w:p w14:paraId="4374602A" w14:textId="77777777" w:rsidR="00A74405" w:rsidRDefault="00A74405" w:rsidP="00A74405">
      <w:pPr>
        <w:pStyle w:val="BodyText"/>
        <w:numPr>
          <w:ilvl w:val="0"/>
          <w:numId w:val="15"/>
        </w:numPr>
        <w:spacing w:before="140"/>
        <w:jc w:val="both"/>
      </w:pPr>
      <w:r>
        <w:t xml:space="preserve">domestic preferences, </w:t>
      </w:r>
    </w:p>
    <w:p w14:paraId="6299FB21" w14:textId="77777777" w:rsidR="00A74405" w:rsidRDefault="00A74405" w:rsidP="00A74405">
      <w:pPr>
        <w:pStyle w:val="BodyText"/>
        <w:numPr>
          <w:ilvl w:val="0"/>
          <w:numId w:val="15"/>
        </w:numPr>
        <w:spacing w:before="140"/>
        <w:jc w:val="both"/>
      </w:pPr>
      <w:r>
        <w:t xml:space="preserve">procurement of recovered materials, </w:t>
      </w:r>
    </w:p>
    <w:p w14:paraId="484412F4" w14:textId="77777777" w:rsidR="00A74405" w:rsidRDefault="00A74405" w:rsidP="00A74405">
      <w:pPr>
        <w:pStyle w:val="BodyText"/>
        <w:numPr>
          <w:ilvl w:val="0"/>
          <w:numId w:val="15"/>
        </w:numPr>
        <w:spacing w:before="140"/>
        <w:jc w:val="both"/>
      </w:pPr>
      <w:r>
        <w:lastRenderedPageBreak/>
        <w:t xml:space="preserve">establishing contract cost and price, </w:t>
      </w:r>
    </w:p>
    <w:p w14:paraId="7697FF0B" w14:textId="77777777" w:rsidR="00A74405" w:rsidRDefault="00A74405" w:rsidP="00A74405">
      <w:pPr>
        <w:pStyle w:val="BodyText"/>
        <w:numPr>
          <w:ilvl w:val="0"/>
          <w:numId w:val="15"/>
        </w:numPr>
        <w:spacing w:before="140"/>
        <w:jc w:val="both"/>
      </w:pPr>
      <w:r>
        <w:t xml:space="preserve">bonding requirements, and </w:t>
      </w:r>
    </w:p>
    <w:p w14:paraId="4020321F" w14:textId="77777777" w:rsidR="00A74405" w:rsidRPr="005D7A7F" w:rsidRDefault="00A74405" w:rsidP="00A74405">
      <w:pPr>
        <w:pStyle w:val="BodyText"/>
        <w:numPr>
          <w:ilvl w:val="0"/>
          <w:numId w:val="15"/>
        </w:numPr>
        <w:spacing w:before="140"/>
        <w:jc w:val="both"/>
      </w:pPr>
      <w:r>
        <w:t xml:space="preserve">required contract clauses.  </w:t>
      </w:r>
    </w:p>
    <w:p w14:paraId="3C96967E" w14:textId="77777777" w:rsidR="00FC0BE1" w:rsidRDefault="00FC0BE1" w:rsidP="00842A00">
      <w:pPr>
        <w:pStyle w:val="BodyText"/>
        <w:spacing w:before="60"/>
        <w:ind w:right="268"/>
        <w:jc w:val="both"/>
        <w:rPr>
          <w:b/>
        </w:rPr>
      </w:pPr>
    </w:p>
    <w:p w14:paraId="7691AFA7" w14:textId="43E6C263" w:rsidR="00A74405" w:rsidRDefault="00A74405" w:rsidP="003877CE">
      <w:pPr>
        <w:pStyle w:val="BodyText"/>
        <w:spacing w:before="1" w:line="259" w:lineRule="auto"/>
        <w:ind w:left="200" w:right="522"/>
        <w:jc w:val="both"/>
      </w:pPr>
      <w:r>
        <w:t>The grantee mu</w:t>
      </w:r>
      <w:r w:rsidR="002C275C">
        <w:t>st follow applicable federal AND</w:t>
      </w:r>
      <w:r>
        <w:t xml:space="preserve"> state law, federal procurement standards specified in regulations governing federal awards to non-federal entities, their established policy, and best practices for procuring goods or services with grant funds. Procurement activities must follow the most restrictive of federal, state and local procurement regulations. </w:t>
      </w:r>
      <w:r w:rsidR="00434254">
        <w:t xml:space="preserve">Independent Colleges and Universities that operate as </w:t>
      </w:r>
      <w:r w:rsidR="00825B62">
        <w:t xml:space="preserve">private </w:t>
      </w:r>
      <w:r w:rsidR="00434254">
        <w:t xml:space="preserve">nonprofit </w:t>
      </w:r>
      <w:r w:rsidR="00825B62">
        <w:t xml:space="preserve">entities default to the federal </w:t>
      </w:r>
      <w:r w:rsidR="007C6F76">
        <w:t xml:space="preserve">acquisition </w:t>
      </w:r>
      <w:r w:rsidR="00825B62">
        <w:t xml:space="preserve">thresholds.  </w:t>
      </w:r>
      <w:r>
        <w:t>Contracts must be routinely monitored for delivery of services or goods.</w:t>
      </w:r>
    </w:p>
    <w:p w14:paraId="39A210EF" w14:textId="77777777" w:rsidR="00A74405" w:rsidRDefault="00A74405" w:rsidP="003877CE">
      <w:pPr>
        <w:pStyle w:val="BodyText"/>
        <w:spacing w:before="1" w:line="259" w:lineRule="auto"/>
        <w:ind w:left="200" w:right="522"/>
        <w:jc w:val="both"/>
      </w:pPr>
    </w:p>
    <w:p w14:paraId="4E0C91DA" w14:textId="5614D205" w:rsidR="00A74405" w:rsidRDefault="00A74405" w:rsidP="003877CE">
      <w:pPr>
        <w:pStyle w:val="BodyText"/>
        <w:spacing w:before="1" w:line="259" w:lineRule="auto"/>
        <w:ind w:left="200" w:right="522"/>
        <w:jc w:val="both"/>
      </w:pPr>
      <w:r w:rsidRPr="00404678">
        <w:t xml:space="preserve">Grantees may use award funds to enter into contracts to procure goods and services necessary to implement one or more of the eligible purposes outlined in </w:t>
      </w:r>
      <w:r>
        <w:t>Treasury’s</w:t>
      </w:r>
      <w:r w:rsidRPr="00404678">
        <w:t xml:space="preserve"> Final Rule. As such, grantees are expected to have procurement policies and procedures in place that comply with the procurement standards outlined in the Uniform Guidance.</w:t>
      </w:r>
    </w:p>
    <w:p w14:paraId="07502946" w14:textId="77777777" w:rsidR="00A74405" w:rsidRPr="00404678" w:rsidRDefault="00A74405" w:rsidP="003877CE">
      <w:pPr>
        <w:pStyle w:val="BodyText"/>
        <w:spacing w:before="1" w:line="259" w:lineRule="auto"/>
        <w:ind w:left="200" w:right="522"/>
        <w:jc w:val="both"/>
      </w:pPr>
    </w:p>
    <w:p w14:paraId="4FD59FB4" w14:textId="77777777" w:rsidR="0047352B" w:rsidRDefault="00A74405" w:rsidP="003877CE">
      <w:pPr>
        <w:pStyle w:val="BodyText"/>
        <w:spacing w:before="1" w:line="259" w:lineRule="auto"/>
        <w:ind w:left="200" w:right="522"/>
        <w:jc w:val="both"/>
      </w:pPr>
      <w:r w:rsidRPr="00404678">
        <w:t>Specifically, a State must follow the same policies and procedures it uses for procurements from its non-Federal funds and comply with 2 CFR §§ 200.321, 200.322, and 200.323. States must also ensure that every contract includes the applicable contract clauses required by 2 CFR § 200.327. All other entities under the program, including subrecipients of a State, must follow the procurement standards in 2 CFR §§ 200.318 through 200.327, including ensuring that the procurement method used for the contracts are appropriate based on the dollar amount and conditions specified in 2 CFR § 200.320.</w:t>
      </w:r>
    </w:p>
    <w:p w14:paraId="69B3F351" w14:textId="77777777" w:rsidR="0047352B" w:rsidRDefault="0047352B" w:rsidP="00842A00">
      <w:pPr>
        <w:pStyle w:val="BodyText"/>
        <w:spacing w:before="60"/>
        <w:ind w:right="268"/>
        <w:jc w:val="both"/>
      </w:pPr>
    </w:p>
    <w:p w14:paraId="29222AD8" w14:textId="515CA1B1" w:rsidR="00842A00" w:rsidRDefault="00842A00" w:rsidP="00842A00">
      <w:pPr>
        <w:pStyle w:val="BodyText"/>
        <w:spacing w:before="60"/>
        <w:ind w:right="268"/>
        <w:jc w:val="both"/>
        <w:rPr>
          <w:b/>
        </w:rPr>
      </w:pPr>
      <w:r w:rsidRPr="00842A00">
        <w:rPr>
          <w:b/>
        </w:rPr>
        <w:t>SLFRF Final Rule FAQ’s</w:t>
      </w:r>
    </w:p>
    <w:p w14:paraId="1ED26601" w14:textId="77777777" w:rsidR="00842A00" w:rsidRPr="00842A00" w:rsidRDefault="00842A00" w:rsidP="00842A00">
      <w:pPr>
        <w:pStyle w:val="BodyText"/>
        <w:spacing w:before="60"/>
        <w:ind w:left="496" w:right="268"/>
        <w:jc w:val="both"/>
        <w:rPr>
          <w:b/>
        </w:rPr>
      </w:pPr>
    </w:p>
    <w:p w14:paraId="089FFD6C" w14:textId="77777777" w:rsidR="00842A00" w:rsidRPr="002009D2" w:rsidRDefault="00842A00" w:rsidP="00842A00">
      <w:pPr>
        <w:pStyle w:val="BodyText"/>
        <w:spacing w:before="60"/>
        <w:ind w:left="540" w:right="268" w:hanging="540"/>
        <w:jc w:val="both"/>
        <w:rPr>
          <w:b/>
        </w:rPr>
      </w:pPr>
      <w:r w:rsidRPr="002009D2">
        <w:rPr>
          <w:b/>
        </w:rPr>
        <w:t>2.19.</w:t>
      </w:r>
      <w:r w:rsidRPr="002009D2">
        <w:rPr>
          <w:b/>
        </w:rPr>
        <w:tab/>
        <w:t>How can funds be used for “installation and improvement of ventilation systems in congregate settings, health care settings, or other public facilities” like commercial buildings, office buildings, schools, nursing homes, multi-family residential buildings, and restaurants?</w:t>
      </w:r>
    </w:p>
    <w:p w14:paraId="7CC9CF87" w14:textId="77777777" w:rsidR="00842A00" w:rsidRDefault="00842A00" w:rsidP="00842A00">
      <w:pPr>
        <w:pStyle w:val="BodyText"/>
        <w:spacing w:before="60"/>
        <w:ind w:left="540" w:right="268"/>
        <w:jc w:val="both"/>
      </w:pPr>
    </w:p>
    <w:p w14:paraId="652B7031" w14:textId="77777777" w:rsidR="00842A00" w:rsidRDefault="00842A00" w:rsidP="00842A00">
      <w:pPr>
        <w:pStyle w:val="BodyText"/>
        <w:spacing w:before="60"/>
        <w:ind w:left="540" w:right="268"/>
        <w:jc w:val="both"/>
      </w:pPr>
      <w:r>
        <w:t>As a general matter, ventilation improvements, including updates to HVAC systems, improved air filtration, and increased outdoor air flow, can help reduce the concentration and risk of exposure to aerosols, and thus infectio</w:t>
      </w:r>
      <w:r w:rsidR="00FC0BE1">
        <w:t>n with COVID-19.</w:t>
      </w:r>
      <w:r w:rsidR="00045FB4">
        <w:t xml:space="preserve"> The National </w:t>
      </w:r>
      <w:r>
        <w:t>COVID-19 Preparedness Plan specifies that improving ventilation and air filtration is a key component of keeping schools and businesses safely open. Although improvements to ventilation and air cleaning cannot on their own eliminate the risk of airborne transmission of the SARS-CoV-2 virus, the Environmental Protection Agency (EPA) has recommended taking steps to improve indoor air quality (IAQ ) including optimizing fresh air ventilation, enhancing air filtration and cleaning, and managing the way air flows as components of a larger approach that may include individual actions and layered prevention strategies.</w:t>
      </w:r>
    </w:p>
    <w:p w14:paraId="4E7BF545" w14:textId="77777777" w:rsidR="00842A00" w:rsidRDefault="00842A00" w:rsidP="00842A00">
      <w:pPr>
        <w:pStyle w:val="BodyText"/>
        <w:spacing w:before="60"/>
        <w:ind w:left="540" w:right="268"/>
        <w:jc w:val="both"/>
      </w:pPr>
    </w:p>
    <w:p w14:paraId="047D405F" w14:textId="77777777" w:rsidR="00EE5644" w:rsidRDefault="00EE5644" w:rsidP="00EE5644">
      <w:pPr>
        <w:pStyle w:val="BodyText"/>
        <w:spacing w:before="60"/>
        <w:ind w:left="540" w:right="268"/>
        <w:jc w:val="both"/>
      </w:pPr>
      <w:r>
        <w:t xml:space="preserve">Under the SLFRF program, funds for installation and improvement of ventilation systems can be used for projects that respond to the pandemic’s public health impacts and provide </w:t>
      </w:r>
      <w:r>
        <w:lastRenderedPageBreak/>
        <w:t>longer-term benefits, including the inspection, testing, commissioning, maintenance, repair, replacement, and upgrading of HVAC systems to improve indoor air quality in facilities.</w:t>
      </w:r>
      <w:r>
        <w:rPr>
          <w:spacing w:val="-4"/>
        </w:rPr>
        <w:t xml:space="preserve"> </w:t>
      </w:r>
      <w:r>
        <w:t>Projects</w:t>
      </w:r>
      <w:r>
        <w:rPr>
          <w:spacing w:val="-4"/>
        </w:rPr>
        <w:t xml:space="preserve"> </w:t>
      </w:r>
      <w:r>
        <w:t>can</w:t>
      </w:r>
      <w:r>
        <w:rPr>
          <w:spacing w:val="-4"/>
        </w:rPr>
        <w:t xml:space="preserve"> </w:t>
      </w:r>
      <w:r>
        <w:t>include</w:t>
      </w:r>
      <w:r>
        <w:rPr>
          <w:spacing w:val="-4"/>
        </w:rPr>
        <w:t xml:space="preserve"> </w:t>
      </w:r>
      <w:r>
        <w:t>assessing</w:t>
      </w:r>
      <w:r>
        <w:rPr>
          <w:spacing w:val="-4"/>
        </w:rPr>
        <w:t xml:space="preserve"> </w:t>
      </w:r>
      <w:r>
        <w:t>current</w:t>
      </w:r>
      <w:r>
        <w:rPr>
          <w:spacing w:val="-4"/>
        </w:rPr>
        <w:t xml:space="preserve"> </w:t>
      </w:r>
      <w:r>
        <w:t>HVAC</w:t>
      </w:r>
      <w:r>
        <w:rPr>
          <w:spacing w:val="-4"/>
        </w:rPr>
        <w:t xml:space="preserve"> </w:t>
      </w:r>
      <w:r>
        <w:t>systems,</w:t>
      </w:r>
      <w:r>
        <w:rPr>
          <w:spacing w:val="-4"/>
        </w:rPr>
        <w:t xml:space="preserve"> </w:t>
      </w:r>
      <w:r>
        <w:t>updating</w:t>
      </w:r>
      <w:r>
        <w:rPr>
          <w:spacing w:val="-4"/>
        </w:rPr>
        <w:t xml:space="preserve"> </w:t>
      </w:r>
      <w:r>
        <w:t>HVAC</w:t>
      </w:r>
      <w:r>
        <w:rPr>
          <w:spacing w:val="-4"/>
        </w:rPr>
        <w:t xml:space="preserve"> </w:t>
      </w:r>
      <w:r>
        <w:t xml:space="preserve">systems, updating air filters, installing functional windows for improved ventilation, repairing windows and doors, installing in-room air cleaning devices, and other projects for improving indoor air quality. For a more extensive guide of how to effectively use funds for ventilation improvements, Treasury recommends reviewing EPA’s </w:t>
      </w:r>
      <w:hyperlink r:id="rId10" w:anchor="%3A%7E%3Atext%3DThe%20%E2%80%9CClean%20Air%20in%20Buildings%20Challenge%E2%80%9D%20is%20a%20call%20to%2Cviruses%20and%20other%20contaminants%20indoors">
        <w:r>
          <w:rPr>
            <w:color w:val="0000FF"/>
            <w:u w:val="single" w:color="0000FF"/>
          </w:rPr>
          <w:t xml:space="preserve">Clean Air in </w:t>
        </w:r>
      </w:hyperlink>
      <w:r>
        <w:rPr>
          <w:color w:val="0000FF"/>
        </w:rPr>
        <w:t xml:space="preserve"> </w:t>
      </w:r>
      <w:hyperlink r:id="rId11" w:anchor="%3A%7E%3Atext%3DThe%20%E2%80%9CClean%20Air%20in%20Buildings%20Challenge%E2%80%9D%20is%20a%20call%20to%2Cviruses%20and%20other%20contaminants%20indoors">
        <w:r>
          <w:rPr>
            <w:color w:val="0000FF"/>
            <w:u w:val="single" w:color="0000FF"/>
          </w:rPr>
          <w:t>Buildings Challenge</w:t>
        </w:r>
      </w:hyperlink>
      <w:r>
        <w:t>, a call to action and a set of guiding principles and best practices to assist building owners and operators with improving</w:t>
      </w:r>
      <w:r>
        <w:rPr>
          <w:spacing w:val="40"/>
        </w:rPr>
        <w:t xml:space="preserve"> </w:t>
      </w:r>
      <w:r>
        <w:t>IAQ in buildings, as well as EPA’s resource page on “</w:t>
      </w:r>
      <w:hyperlink r:id="rId12">
        <w:r>
          <w:rPr>
            <w:color w:val="0000FF"/>
            <w:u w:val="single" w:color="0000FF"/>
          </w:rPr>
          <w:t>Ventilation and Coronavirus (COVID-19).</w:t>
        </w:r>
      </w:hyperlink>
      <w:r>
        <w:t>” For a guide on federal programs and resources to support school infrastructure, including ventilation improvements, Treasury recommends consulting the “</w:t>
      </w:r>
      <w:hyperlink r:id="rId13">
        <w:r>
          <w:rPr>
            <w:color w:val="0000FF"/>
            <w:u w:val="single" w:color="0000FF"/>
          </w:rPr>
          <w:t>White House Toolkit: Federal</w:t>
        </w:r>
        <w:r>
          <w:rPr>
            <w:color w:val="0000FF"/>
            <w:spacing w:val="40"/>
            <w:u w:val="single" w:color="0000FF"/>
          </w:rPr>
          <w:t xml:space="preserve"> </w:t>
        </w:r>
      </w:hyperlink>
      <w:hyperlink r:id="rId14">
        <w:r>
          <w:rPr>
            <w:color w:val="0000FF"/>
            <w:u w:val="single" w:color="0000FF"/>
          </w:rPr>
          <w:t>Resources for Addressing School Infrastructure Needs</w:t>
        </w:r>
      </w:hyperlink>
      <w:r>
        <w:t>.” Further, Treasury recommends that</w:t>
      </w:r>
      <w:r>
        <w:rPr>
          <w:spacing w:val="-4"/>
        </w:rPr>
        <w:t xml:space="preserve"> </w:t>
      </w:r>
      <w:r>
        <w:t>recipients</w:t>
      </w:r>
      <w:r>
        <w:rPr>
          <w:spacing w:val="-4"/>
        </w:rPr>
        <w:t xml:space="preserve"> </w:t>
      </w:r>
      <w:r>
        <w:t>engage</w:t>
      </w:r>
      <w:r>
        <w:rPr>
          <w:spacing w:val="-4"/>
        </w:rPr>
        <w:t xml:space="preserve"> </w:t>
      </w:r>
      <w:r>
        <w:t>with</w:t>
      </w:r>
      <w:r>
        <w:rPr>
          <w:spacing w:val="-4"/>
        </w:rPr>
        <w:t xml:space="preserve"> </w:t>
      </w:r>
      <w:r>
        <w:t>public</w:t>
      </w:r>
      <w:r>
        <w:rPr>
          <w:spacing w:val="-4"/>
        </w:rPr>
        <w:t xml:space="preserve"> </w:t>
      </w:r>
      <w:r>
        <w:t>health</w:t>
      </w:r>
      <w:r>
        <w:rPr>
          <w:spacing w:val="-4"/>
        </w:rPr>
        <w:t xml:space="preserve"> </w:t>
      </w:r>
      <w:r>
        <w:t>and</w:t>
      </w:r>
      <w:r>
        <w:rPr>
          <w:spacing w:val="-5"/>
        </w:rPr>
        <w:t xml:space="preserve"> </w:t>
      </w:r>
      <w:r>
        <w:t>infection</w:t>
      </w:r>
      <w:r>
        <w:rPr>
          <w:spacing w:val="-4"/>
        </w:rPr>
        <w:t xml:space="preserve"> </w:t>
      </w:r>
      <w:r>
        <w:t>prevention</w:t>
      </w:r>
      <w:r>
        <w:rPr>
          <w:spacing w:val="-4"/>
        </w:rPr>
        <w:t xml:space="preserve"> </w:t>
      </w:r>
      <w:r>
        <w:t>professionals</w:t>
      </w:r>
      <w:r>
        <w:rPr>
          <w:spacing w:val="-4"/>
        </w:rPr>
        <w:t xml:space="preserve"> </w:t>
      </w:r>
      <w:r>
        <w:t>to</w:t>
      </w:r>
      <w:r>
        <w:rPr>
          <w:spacing w:val="-4"/>
        </w:rPr>
        <w:t xml:space="preserve"> </w:t>
      </w:r>
      <w:r>
        <w:t>develop and support an effective COVID-19 mitigation strategy. Finally, Treasury recommends that recipients ensure that the inspection, testing, commissioning, maintenance, repair, replacement, and upgrading of ventilation systems is performed by a skilled, trained, and certified workforce.</w:t>
      </w:r>
    </w:p>
    <w:p w14:paraId="541B29FE" w14:textId="77777777" w:rsidR="00EE5644" w:rsidRDefault="00EE5644" w:rsidP="00EE5644">
      <w:pPr>
        <w:pStyle w:val="BodyText"/>
        <w:spacing w:before="1"/>
        <w:ind w:left="996" w:right="258"/>
      </w:pPr>
    </w:p>
    <w:p w14:paraId="3126D8EE" w14:textId="77777777" w:rsidR="00842A00" w:rsidRDefault="00842A00" w:rsidP="00842A00">
      <w:pPr>
        <w:pStyle w:val="BodyText"/>
        <w:spacing w:line="252" w:lineRule="auto"/>
        <w:ind w:left="540" w:right="258"/>
        <w:jc w:val="both"/>
        <w:rPr>
          <w:sz w:val="28"/>
        </w:rPr>
      </w:pPr>
      <w:r>
        <w:t>Recipients</w:t>
      </w:r>
      <w:r>
        <w:rPr>
          <w:spacing w:val="-4"/>
        </w:rPr>
        <w:t xml:space="preserve"> </w:t>
      </w:r>
      <w:r>
        <w:t>that</w:t>
      </w:r>
      <w:r>
        <w:rPr>
          <w:spacing w:val="-4"/>
        </w:rPr>
        <w:t xml:space="preserve"> </w:t>
      </w:r>
      <w:r>
        <w:t>undertake</w:t>
      </w:r>
      <w:r>
        <w:rPr>
          <w:spacing w:val="-4"/>
        </w:rPr>
        <w:t xml:space="preserve"> </w:t>
      </w:r>
      <w:r>
        <w:t>ventilation</w:t>
      </w:r>
      <w:r>
        <w:rPr>
          <w:spacing w:val="-5"/>
        </w:rPr>
        <w:t xml:space="preserve"> </w:t>
      </w:r>
      <w:r>
        <w:t>system</w:t>
      </w:r>
      <w:r>
        <w:rPr>
          <w:spacing w:val="-5"/>
        </w:rPr>
        <w:t xml:space="preserve"> </w:t>
      </w:r>
      <w:r>
        <w:t>investments</w:t>
      </w:r>
      <w:r>
        <w:rPr>
          <w:spacing w:val="-4"/>
        </w:rPr>
        <w:t xml:space="preserve"> </w:t>
      </w:r>
      <w:r>
        <w:t>under</w:t>
      </w:r>
      <w:r>
        <w:rPr>
          <w:spacing w:val="-4"/>
        </w:rPr>
        <w:t xml:space="preserve"> </w:t>
      </w:r>
      <w:r>
        <w:t>the</w:t>
      </w:r>
      <w:r>
        <w:rPr>
          <w:spacing w:val="-4"/>
        </w:rPr>
        <w:t xml:space="preserve"> </w:t>
      </w:r>
      <w:r>
        <w:t>public</w:t>
      </w:r>
      <w:r>
        <w:rPr>
          <w:spacing w:val="-5"/>
        </w:rPr>
        <w:t xml:space="preserve"> </w:t>
      </w:r>
      <w:r>
        <w:t>health</w:t>
      </w:r>
      <w:r>
        <w:rPr>
          <w:spacing w:val="-5"/>
        </w:rPr>
        <w:t xml:space="preserve"> </w:t>
      </w:r>
      <w:r>
        <w:t>and negative economic impacts eligible use category should review capital expenditure requirements in the final rule and note that capital expenditures must be related and reasonably proportional to the pandemic impact identified</w:t>
      </w:r>
      <w:r>
        <w:rPr>
          <w:sz w:val="28"/>
        </w:rPr>
        <w:t>.</w:t>
      </w:r>
    </w:p>
    <w:p w14:paraId="3A5CEC44" w14:textId="77777777" w:rsidR="00842A00" w:rsidRDefault="00842A00" w:rsidP="00EE5644">
      <w:pPr>
        <w:pStyle w:val="BodyText"/>
        <w:spacing w:before="1"/>
        <w:ind w:left="540" w:right="258"/>
      </w:pPr>
    </w:p>
    <w:p w14:paraId="78917A94" w14:textId="77777777" w:rsidR="00842A00" w:rsidRDefault="002009D2" w:rsidP="002009D2">
      <w:pPr>
        <w:pStyle w:val="BodyText"/>
        <w:spacing w:before="1"/>
        <w:ind w:right="258"/>
      </w:pPr>
      <w:r w:rsidRPr="00842A00">
        <w:rPr>
          <w:b/>
        </w:rPr>
        <w:t>SLFRF Final Rule FAQ’s</w:t>
      </w:r>
    </w:p>
    <w:p w14:paraId="00187F13" w14:textId="77777777" w:rsidR="00842A00" w:rsidRDefault="00842A00" w:rsidP="00EE5644">
      <w:pPr>
        <w:pStyle w:val="BodyText"/>
        <w:spacing w:before="1"/>
        <w:ind w:left="540" w:right="258"/>
      </w:pPr>
    </w:p>
    <w:p w14:paraId="46CFA064" w14:textId="77777777" w:rsidR="00842A00" w:rsidRPr="002009D2" w:rsidRDefault="00842A00" w:rsidP="00842A00">
      <w:pPr>
        <w:pStyle w:val="BodyText"/>
        <w:spacing w:before="1"/>
        <w:ind w:left="540" w:right="258" w:hanging="540"/>
        <w:rPr>
          <w:b/>
        </w:rPr>
      </w:pPr>
      <w:r w:rsidRPr="002009D2">
        <w:rPr>
          <w:b/>
        </w:rPr>
        <w:t>2.20.</w:t>
      </w:r>
      <w:r w:rsidRPr="002009D2">
        <w:rPr>
          <w:b/>
        </w:rPr>
        <w:tab/>
        <w:t>In what types of buildings can recipients use funds to install and improve of ventilation systems?</w:t>
      </w:r>
    </w:p>
    <w:p w14:paraId="264907C7" w14:textId="77777777" w:rsidR="00842A00" w:rsidRDefault="00842A00" w:rsidP="00842A00">
      <w:pPr>
        <w:pStyle w:val="BodyText"/>
        <w:spacing w:before="1"/>
        <w:ind w:left="540" w:right="258"/>
      </w:pPr>
    </w:p>
    <w:p w14:paraId="5ABC3089" w14:textId="6DF73481" w:rsidR="00842A00" w:rsidRDefault="00842A00" w:rsidP="009372E1">
      <w:pPr>
        <w:pStyle w:val="BodyText"/>
        <w:spacing w:before="1"/>
        <w:ind w:left="540" w:right="258"/>
        <w:jc w:val="both"/>
      </w:pPr>
      <w:r>
        <w:t>In addition to directly installing and improving ventilation systems in congregate settings, health</w:t>
      </w:r>
      <w:r w:rsidR="00110E6B">
        <w:t xml:space="preserve"> </w:t>
      </w:r>
      <w:r>
        <w:t>care settings, or other public facilities, recipients may grant or loan funds to businesses, non-profits, and other entities that may benefit from COVID-19 mitigation measures.</w:t>
      </w:r>
    </w:p>
    <w:p w14:paraId="009EF069" w14:textId="77777777" w:rsidR="00842A00" w:rsidRDefault="00842A00" w:rsidP="009372E1">
      <w:pPr>
        <w:pStyle w:val="BodyText"/>
        <w:spacing w:before="1"/>
        <w:ind w:left="540" w:right="258"/>
        <w:jc w:val="both"/>
      </w:pPr>
    </w:p>
    <w:p w14:paraId="6C798A30" w14:textId="77777777" w:rsidR="00842A00" w:rsidRDefault="00842A00" w:rsidP="009372E1">
      <w:pPr>
        <w:pStyle w:val="BodyText"/>
        <w:spacing w:before="1"/>
        <w:ind w:left="540" w:right="258"/>
        <w:jc w:val="both"/>
      </w:pPr>
      <w:r>
        <w:t>In making these investments, Treasury recommends that recipients consult with public health and infection prevention professionals and that recipients ensure work is performed by a workforce that is skilled, trained, and certified in ventilation systems work. Many buildings would benefit from ventilation improvements, including settings where risk of infection is higher, such as when people are indoors for prolonged periods of time, are in crowded environments, or are performing activities that increase emission of respiratory fluids (such as speaking l</w:t>
      </w:r>
      <w:r w:rsidR="00FC0BE1">
        <w:t>oudly, singing, or exercising).</w:t>
      </w:r>
      <w:r>
        <w:t xml:space="preserve"> This includes commercial buildings, office buildings, dense worksites, schools, nursing homes and other long-term care facilities, multi-family residential buildings, restaurants, correctional facilities, transportation hubs, and public transit vehicles, among other locations. Recipients are encouraged to consider congregate settings and other key locations as priorities for installation and improvement of ventilation systems. Please note that use of funds is not limited to government-owned public facilities and funds may be distributed by recipients to private businesses, non-profits, and others for COVID-19 mitigation and prevention, as the final rule clarifies that recipients may identify the general public as the impacted population for COVID-19 prevention and mitigation services. Recipients should review </w:t>
      </w:r>
      <w:r>
        <w:lastRenderedPageBreak/>
        <w:t>capital expenditure requirements for the public health and negative economic impacts eligible use category in the final rule before undertaking investments in ventilation systems.</w:t>
      </w:r>
    </w:p>
    <w:p w14:paraId="0DB74D6D" w14:textId="77777777" w:rsidR="00842A00" w:rsidRDefault="00842A00" w:rsidP="009372E1">
      <w:pPr>
        <w:pStyle w:val="BodyText"/>
        <w:spacing w:before="1"/>
        <w:ind w:left="540" w:right="258"/>
        <w:jc w:val="both"/>
      </w:pPr>
    </w:p>
    <w:p w14:paraId="4C220286" w14:textId="77777777" w:rsidR="00EE5644" w:rsidRDefault="00EE5644" w:rsidP="009372E1">
      <w:pPr>
        <w:pStyle w:val="BodyText"/>
        <w:spacing w:before="1"/>
        <w:ind w:left="540" w:right="258"/>
        <w:jc w:val="both"/>
      </w:pPr>
      <w:r>
        <w:t>For</w:t>
      </w:r>
      <w:r>
        <w:rPr>
          <w:spacing w:val="-4"/>
        </w:rPr>
        <w:t xml:space="preserve"> </w:t>
      </w:r>
      <w:r>
        <w:t>more</w:t>
      </w:r>
      <w:r>
        <w:rPr>
          <w:spacing w:val="-5"/>
        </w:rPr>
        <w:t xml:space="preserve"> </w:t>
      </w:r>
      <w:r>
        <w:t>information</w:t>
      </w:r>
      <w:r>
        <w:rPr>
          <w:spacing w:val="-4"/>
        </w:rPr>
        <w:t xml:space="preserve"> </w:t>
      </w:r>
      <w:r>
        <w:t>on</w:t>
      </w:r>
      <w:r>
        <w:rPr>
          <w:spacing w:val="-6"/>
        </w:rPr>
        <w:t xml:space="preserve"> </w:t>
      </w:r>
      <w:r>
        <w:t>ventilation</w:t>
      </w:r>
      <w:r>
        <w:rPr>
          <w:spacing w:val="-4"/>
        </w:rPr>
        <w:t xml:space="preserve"> </w:t>
      </w:r>
      <w:r>
        <w:t>system</w:t>
      </w:r>
      <w:r>
        <w:rPr>
          <w:spacing w:val="-4"/>
        </w:rPr>
        <w:t xml:space="preserve"> </w:t>
      </w:r>
      <w:r>
        <w:t>upgrades</w:t>
      </w:r>
      <w:r>
        <w:rPr>
          <w:spacing w:val="-4"/>
        </w:rPr>
        <w:t xml:space="preserve"> </w:t>
      </w:r>
      <w:r>
        <w:t>for</w:t>
      </w:r>
      <w:r>
        <w:rPr>
          <w:spacing w:val="-4"/>
        </w:rPr>
        <w:t xml:space="preserve"> </w:t>
      </w:r>
      <w:r>
        <w:t>school</w:t>
      </w:r>
      <w:r>
        <w:rPr>
          <w:spacing w:val="-4"/>
        </w:rPr>
        <w:t xml:space="preserve"> </w:t>
      </w:r>
      <w:r>
        <w:t>settings,</w:t>
      </w:r>
      <w:r>
        <w:rPr>
          <w:spacing w:val="-6"/>
        </w:rPr>
        <w:t xml:space="preserve"> </w:t>
      </w:r>
      <w:r>
        <w:t>Treasury recommends consulting:</w:t>
      </w:r>
    </w:p>
    <w:p w14:paraId="4FC7A3CC" w14:textId="77777777" w:rsidR="00EE5644" w:rsidRDefault="00EE5644" w:rsidP="009372E1">
      <w:pPr>
        <w:pStyle w:val="ListParagraph"/>
        <w:numPr>
          <w:ilvl w:val="0"/>
          <w:numId w:val="8"/>
        </w:numPr>
        <w:tabs>
          <w:tab w:val="left" w:pos="1260"/>
        </w:tabs>
        <w:spacing w:before="0" w:line="293" w:lineRule="exact"/>
        <w:ind w:left="1620"/>
        <w:jc w:val="both"/>
        <w:rPr>
          <w:rFonts w:ascii="Symbol" w:hAnsi="Symbol"/>
          <w:sz w:val="24"/>
        </w:rPr>
      </w:pPr>
      <w:r>
        <w:rPr>
          <w:sz w:val="24"/>
        </w:rPr>
        <w:t>Creating</w:t>
      </w:r>
      <w:r>
        <w:rPr>
          <w:spacing w:val="-5"/>
          <w:sz w:val="24"/>
        </w:rPr>
        <w:t xml:space="preserve"> </w:t>
      </w:r>
      <w:r>
        <w:rPr>
          <w:sz w:val="24"/>
        </w:rPr>
        <w:t>Healthy</w:t>
      </w:r>
      <w:r>
        <w:rPr>
          <w:spacing w:val="-4"/>
          <w:sz w:val="24"/>
        </w:rPr>
        <w:t xml:space="preserve"> </w:t>
      </w:r>
      <w:r>
        <w:rPr>
          <w:sz w:val="24"/>
        </w:rPr>
        <w:t>Indoor</w:t>
      </w:r>
      <w:r>
        <w:rPr>
          <w:spacing w:val="-3"/>
          <w:sz w:val="24"/>
        </w:rPr>
        <w:t xml:space="preserve"> </w:t>
      </w:r>
      <w:r>
        <w:rPr>
          <w:sz w:val="24"/>
        </w:rPr>
        <w:t>Air</w:t>
      </w:r>
      <w:r>
        <w:rPr>
          <w:spacing w:val="-2"/>
          <w:sz w:val="24"/>
        </w:rPr>
        <w:t xml:space="preserve"> </w:t>
      </w:r>
      <w:r>
        <w:rPr>
          <w:sz w:val="24"/>
        </w:rPr>
        <w:t>Quality</w:t>
      </w:r>
      <w:r>
        <w:rPr>
          <w:spacing w:val="-4"/>
          <w:sz w:val="24"/>
        </w:rPr>
        <w:t xml:space="preserve"> </w:t>
      </w:r>
      <w:r>
        <w:rPr>
          <w:sz w:val="24"/>
        </w:rPr>
        <w:t>in</w:t>
      </w:r>
      <w:r>
        <w:rPr>
          <w:spacing w:val="-2"/>
          <w:sz w:val="24"/>
        </w:rPr>
        <w:t xml:space="preserve"> </w:t>
      </w:r>
      <w:r>
        <w:rPr>
          <w:sz w:val="24"/>
        </w:rPr>
        <w:t>Schools:</w:t>
      </w:r>
      <w:r>
        <w:rPr>
          <w:spacing w:val="-3"/>
          <w:sz w:val="24"/>
        </w:rPr>
        <w:t xml:space="preserve"> </w:t>
      </w:r>
      <w:hyperlink r:id="rId15">
        <w:r>
          <w:rPr>
            <w:color w:val="0000FF"/>
            <w:sz w:val="24"/>
            <w:u w:val="single" w:color="0000FF"/>
          </w:rPr>
          <w:t>https://www.epa.gov/iaq-</w:t>
        </w:r>
        <w:r>
          <w:rPr>
            <w:color w:val="0000FF"/>
            <w:spacing w:val="-2"/>
            <w:sz w:val="24"/>
            <w:u w:val="single" w:color="0000FF"/>
          </w:rPr>
          <w:t>schools</w:t>
        </w:r>
      </w:hyperlink>
    </w:p>
    <w:p w14:paraId="38E3B023" w14:textId="77777777" w:rsidR="00EE5644" w:rsidRDefault="00EE5644" w:rsidP="009372E1">
      <w:pPr>
        <w:pStyle w:val="ListParagraph"/>
        <w:numPr>
          <w:ilvl w:val="0"/>
          <w:numId w:val="8"/>
        </w:numPr>
        <w:tabs>
          <w:tab w:val="left" w:pos="1260"/>
        </w:tabs>
        <w:spacing w:before="0" w:line="293" w:lineRule="exact"/>
        <w:ind w:left="1620"/>
        <w:jc w:val="both"/>
        <w:rPr>
          <w:rFonts w:ascii="Symbol" w:hAnsi="Symbol"/>
          <w:sz w:val="24"/>
        </w:rPr>
      </w:pPr>
      <w:r>
        <w:rPr>
          <w:sz w:val="24"/>
        </w:rPr>
        <w:t>Efficient</w:t>
      </w:r>
      <w:r>
        <w:rPr>
          <w:spacing w:val="-5"/>
          <w:sz w:val="24"/>
        </w:rPr>
        <w:t xml:space="preserve"> </w:t>
      </w:r>
      <w:r>
        <w:rPr>
          <w:sz w:val="24"/>
        </w:rPr>
        <w:t>and</w:t>
      </w:r>
      <w:r>
        <w:rPr>
          <w:spacing w:val="-2"/>
          <w:sz w:val="24"/>
        </w:rPr>
        <w:t xml:space="preserve"> </w:t>
      </w:r>
      <w:r>
        <w:rPr>
          <w:sz w:val="24"/>
        </w:rPr>
        <w:t>Healthy</w:t>
      </w:r>
      <w:r>
        <w:rPr>
          <w:spacing w:val="-2"/>
          <w:sz w:val="24"/>
        </w:rPr>
        <w:t xml:space="preserve"> </w:t>
      </w:r>
      <w:r>
        <w:rPr>
          <w:sz w:val="24"/>
        </w:rPr>
        <w:t>Schools</w:t>
      </w:r>
      <w:r>
        <w:rPr>
          <w:spacing w:val="-2"/>
          <w:sz w:val="24"/>
        </w:rPr>
        <w:t xml:space="preserve"> </w:t>
      </w:r>
      <w:r>
        <w:rPr>
          <w:sz w:val="24"/>
        </w:rPr>
        <w:t>campaign:</w:t>
      </w:r>
      <w:r>
        <w:rPr>
          <w:spacing w:val="-2"/>
          <w:sz w:val="24"/>
        </w:rPr>
        <w:t xml:space="preserve"> </w:t>
      </w:r>
      <w:hyperlink r:id="rId16">
        <w:r>
          <w:rPr>
            <w:color w:val="0000FF"/>
            <w:spacing w:val="-2"/>
            <w:sz w:val="24"/>
            <w:u w:val="single" w:color="0000FF"/>
          </w:rPr>
          <w:t>https://efficienthealthyschools.lbl.gov/</w:t>
        </w:r>
      </w:hyperlink>
    </w:p>
    <w:p w14:paraId="11E8FF31" w14:textId="77777777" w:rsidR="00EE5644" w:rsidRPr="00045FB4" w:rsidRDefault="00EE5644" w:rsidP="00045FB4">
      <w:pPr>
        <w:pStyle w:val="ListParagraph"/>
        <w:numPr>
          <w:ilvl w:val="0"/>
          <w:numId w:val="8"/>
        </w:numPr>
        <w:tabs>
          <w:tab w:val="left" w:pos="1260"/>
        </w:tabs>
        <w:spacing w:before="0" w:line="293" w:lineRule="exact"/>
        <w:ind w:left="1620"/>
        <w:jc w:val="both"/>
        <w:rPr>
          <w:sz w:val="24"/>
        </w:rPr>
      </w:pPr>
      <w:r>
        <w:rPr>
          <w:sz w:val="24"/>
        </w:rPr>
        <w:t>Efficient and Healthy Schools website:</w:t>
      </w:r>
      <w:r w:rsidR="00045FB4">
        <w:rPr>
          <w:sz w:val="24"/>
        </w:rPr>
        <w:tab/>
      </w:r>
      <w:r>
        <w:rPr>
          <w:sz w:val="24"/>
        </w:rPr>
        <w:t xml:space="preserve"> </w:t>
      </w:r>
      <w:hyperlink r:id="rId17">
        <w:r w:rsidR="00045FB4">
          <w:rPr>
            <w:color w:val="0000FF"/>
            <w:spacing w:val="-2"/>
            <w:sz w:val="24"/>
            <w:u w:val="single" w:color="0000FF"/>
          </w:rPr>
          <w:t>https://www.energy.gov/eere/buildings/efficient-and-healthy-schools</w:t>
        </w:r>
      </w:hyperlink>
      <w:r w:rsidR="00045FB4">
        <w:rPr>
          <w:sz w:val="24"/>
        </w:rPr>
        <w:t xml:space="preserve"> </w:t>
      </w:r>
    </w:p>
    <w:p w14:paraId="3292B16D" w14:textId="77777777" w:rsidR="00EE5644" w:rsidRDefault="00EE5644" w:rsidP="009372E1">
      <w:pPr>
        <w:pStyle w:val="BodyText"/>
        <w:spacing w:before="60"/>
        <w:ind w:left="540" w:right="268"/>
        <w:jc w:val="both"/>
      </w:pPr>
    </w:p>
    <w:p w14:paraId="7A5DE533" w14:textId="55EBCD59" w:rsidR="002009D2" w:rsidRDefault="002009D2" w:rsidP="002009D2">
      <w:pPr>
        <w:pStyle w:val="BodyText"/>
        <w:spacing w:before="1"/>
        <w:ind w:right="258"/>
      </w:pPr>
      <w:r w:rsidRPr="00842A00">
        <w:rPr>
          <w:b/>
        </w:rPr>
        <w:t>SLFRF Final Rule FAQ’s</w:t>
      </w:r>
    </w:p>
    <w:p w14:paraId="7F2EDCD8" w14:textId="77777777" w:rsidR="00842A00" w:rsidRPr="002009D2" w:rsidRDefault="00842A00" w:rsidP="00045FB4">
      <w:pPr>
        <w:pStyle w:val="BodyText"/>
        <w:spacing w:before="200"/>
        <w:ind w:left="547" w:hanging="547"/>
        <w:rPr>
          <w:b/>
        </w:rPr>
      </w:pPr>
      <w:r w:rsidRPr="002009D2">
        <w:rPr>
          <w:b/>
        </w:rPr>
        <w:t>2.21.</w:t>
      </w:r>
      <w:r w:rsidRPr="002009D2">
        <w:rPr>
          <w:b/>
        </w:rPr>
        <w:tab/>
        <w:t>Can SLFRF funds be used to support public school facility improvements, upgrades, and new construction – such as those that make buildings more energy efficient, increase their use of renewable energy, address capacity constraints, and respond to health and safety concerns?</w:t>
      </w:r>
    </w:p>
    <w:p w14:paraId="43DB4C78" w14:textId="77777777" w:rsidR="00842A00" w:rsidRDefault="00842A00" w:rsidP="009372E1">
      <w:pPr>
        <w:pStyle w:val="BodyText"/>
        <w:spacing w:before="140"/>
        <w:ind w:left="540"/>
        <w:jc w:val="both"/>
      </w:pPr>
      <w:r>
        <w:t>Yes. There are numerous ways in which SLFRF funds may be used to support public school facility improvements and upgrades.</w:t>
      </w:r>
    </w:p>
    <w:p w14:paraId="4F117720" w14:textId="77777777" w:rsidR="00842A00" w:rsidRDefault="00842A00" w:rsidP="009372E1">
      <w:pPr>
        <w:pStyle w:val="BodyText"/>
        <w:spacing w:before="140"/>
        <w:ind w:left="540"/>
        <w:jc w:val="both"/>
      </w:pPr>
      <w:r>
        <w:t>First, as part of the public health and negative economic impacts (PH-NEI) eligible use category, SLFRF funds may be used address educational disparities in dispropo</w:t>
      </w:r>
      <w:r w:rsidR="002009D2">
        <w:t>rtionately impacted communities.</w:t>
      </w:r>
      <w:r w:rsidRPr="002009D2">
        <w:rPr>
          <w:b/>
          <w:color w:val="FF0000"/>
        </w:rPr>
        <w:t>3</w:t>
      </w:r>
      <w:r>
        <w:t xml:space="preserve"> which may include funding improvements or new construction of schools and other educational facilities or equipment. Recipients may consider energy efficiency improvements as part of their facility investments, and may also use funds for pre-project development costs, such as assessment of building conditions, energy audits, feasibility studies, HVAC commissioning and testing, and lead testing, that are tied to or reasonably expected to lead to an eligible investment in school facilities to address educational disparities in disproportionately impacted communities. Recipients should review and comply with the requirements applicable to capital expenditures under the public health and negative economic impacts eligible use category as outlined in the final rule.</w:t>
      </w:r>
      <w:r w:rsidRPr="005C63EE">
        <w:rPr>
          <w:color w:val="FF0000"/>
        </w:rPr>
        <w:t>4</w:t>
      </w:r>
    </w:p>
    <w:p w14:paraId="6C13F72A" w14:textId="77777777" w:rsidR="00842A00" w:rsidRDefault="00842A00" w:rsidP="009372E1">
      <w:pPr>
        <w:pStyle w:val="BodyText"/>
        <w:spacing w:before="140"/>
        <w:ind w:left="540"/>
        <w:jc w:val="both"/>
      </w:pPr>
      <w:r>
        <w:t>Second, as part of the PH-NEI eligible use category, recipients may use funds for adaptations to schools for the purpose of mitigating the spread of COVID-19, including for ventilation improvements. Similar to the above, recipients should ensure compliance with the capital expenditure requirements for the eligible use category.</w:t>
      </w:r>
    </w:p>
    <w:p w14:paraId="54FDFFB7" w14:textId="77777777" w:rsidR="00842A00" w:rsidRDefault="00842A00" w:rsidP="009372E1">
      <w:pPr>
        <w:pStyle w:val="BodyText"/>
        <w:spacing w:before="140"/>
        <w:ind w:left="540"/>
        <w:jc w:val="both"/>
      </w:pPr>
      <w:r>
        <w:t>Third, as part of the water and sewer infrastructure eligible use category, recipients may invest in certain projects to support lead remediation, including replacement of internal plumbing and faucets and fixtures in schools and childcare facilities. Recipients can also invest in certain green water infrastructure projects. Eligible water and sewer projects are generally aligned with those allowable under the EPA’s Drinking Water and Clean Water State Revolving Funds, and Treasury has added additional eligible projects as part of the final rule. Recipients should review and comply with the specific requirements provided for in the water and sewer infrastructure eligible use category as outlined in the final rule.</w:t>
      </w:r>
    </w:p>
    <w:p w14:paraId="2F47FA41" w14:textId="77777777" w:rsidR="00842A00" w:rsidRDefault="00842A00" w:rsidP="009372E1">
      <w:pPr>
        <w:pStyle w:val="BodyText"/>
        <w:spacing w:before="140"/>
        <w:ind w:left="540"/>
        <w:jc w:val="both"/>
      </w:pPr>
      <w:r>
        <w:t xml:space="preserve">Fourth, as part of the revenue loss eligible use category, which is the broadest eligible use category that is capped by either the $10 million standard allowance (up to a recipient’s award size) or a recipient’s calculated revenue loss, recipients may use SLFRF funds on government services. These government services include any service traditionally provided by a government unless Treasury has stated otherwise. Eligible government services that may be covered under the revenue loss eligible use category include maintenance, </w:t>
      </w:r>
      <w:r>
        <w:lastRenderedPageBreak/>
        <w:t>improvement, or new construction of public school facilities, including those that address over-crowding and capacity constraints, support energy efficiency, and respond to health and safety concerns, among other purposes.</w:t>
      </w:r>
    </w:p>
    <w:p w14:paraId="7758633B" w14:textId="77777777" w:rsidR="002009D2" w:rsidRDefault="002009D2" w:rsidP="009372E1">
      <w:pPr>
        <w:pStyle w:val="BodyText"/>
        <w:spacing w:before="140"/>
        <w:ind w:left="540"/>
        <w:jc w:val="both"/>
      </w:pPr>
      <w:r w:rsidRPr="005C63EE">
        <w:rPr>
          <w:color w:val="FF0000"/>
        </w:rPr>
        <w:t>3</w:t>
      </w:r>
      <w:r>
        <w:t xml:space="preserve"> Please see FAQ 2.9 for more on disproportionately impacted communities, and the Overview of the Final Rule (p.19) for a list of presumed disproportionately impacted communities. For services to address educational disparities, Treasury will recognize Title I eligible schools as disproportionately impacted and responsive services that support the school generally or support the whole school as eligible.</w:t>
      </w:r>
    </w:p>
    <w:p w14:paraId="3290A8AB" w14:textId="58DAE7E8" w:rsidR="002009D2" w:rsidRDefault="002009D2" w:rsidP="009372E1">
      <w:pPr>
        <w:pStyle w:val="BodyText"/>
        <w:spacing w:before="140"/>
        <w:ind w:left="540"/>
        <w:jc w:val="both"/>
      </w:pPr>
      <w:r w:rsidRPr="005C63EE">
        <w:rPr>
          <w:color w:val="FF0000"/>
        </w:rPr>
        <w:t>4</w:t>
      </w:r>
      <w:r>
        <w:t xml:space="preserve"> Please see the Overview of the Final Rule (p. 30-31) for a summary of capital expenditure requirements for the public health and negative economic impacts eligible use category.</w:t>
      </w:r>
    </w:p>
    <w:p w14:paraId="60FFA67E" w14:textId="77777777" w:rsidR="00771F7E" w:rsidRDefault="00771F7E" w:rsidP="009372E1">
      <w:pPr>
        <w:pStyle w:val="BodyText"/>
        <w:spacing w:before="140"/>
        <w:ind w:left="540"/>
        <w:jc w:val="both"/>
      </w:pPr>
    </w:p>
    <w:p w14:paraId="72A36FDC" w14:textId="7309C517" w:rsidR="002009D2" w:rsidRDefault="00771F7E" w:rsidP="009372E1">
      <w:pPr>
        <w:pStyle w:val="BodyText"/>
        <w:spacing w:before="140"/>
        <w:ind w:left="540"/>
        <w:jc w:val="both"/>
      </w:pPr>
      <w:r w:rsidRPr="00842A00">
        <w:rPr>
          <w:b/>
        </w:rPr>
        <w:t>SLFRF Final Rule FAQ’s</w:t>
      </w:r>
    </w:p>
    <w:p w14:paraId="1D7F51D4" w14:textId="77777777" w:rsidR="00771F7E" w:rsidRPr="00771F7E" w:rsidRDefault="00771F7E" w:rsidP="009372E1">
      <w:pPr>
        <w:pStyle w:val="BodyText"/>
        <w:spacing w:before="140"/>
        <w:ind w:left="540"/>
        <w:jc w:val="both"/>
        <w:rPr>
          <w:b/>
        </w:rPr>
      </w:pPr>
      <w:r w:rsidRPr="00771F7E">
        <w:rPr>
          <w:b/>
        </w:rPr>
        <w:t xml:space="preserve">13.2. Do federal procurement requirements apply to SLFRF? </w:t>
      </w:r>
    </w:p>
    <w:p w14:paraId="41491E07" w14:textId="19A250AF" w:rsidR="00771F7E" w:rsidRDefault="00771F7E" w:rsidP="009372E1">
      <w:pPr>
        <w:pStyle w:val="BodyText"/>
        <w:spacing w:before="140"/>
        <w:ind w:left="540"/>
        <w:jc w:val="both"/>
      </w:pPr>
      <w:r>
        <w:t xml:space="preserve">Yes. The procurement standards for federal financial assistance are located in the Uniform Administrative Requirements, Cost Principles, and Audit Requirements for Federal Awards at 2 CFR 200.317 through 2 CFR 200.327 and apply to procurements using SLFRF funds. Pursuant to 2 CFR 200.317, recipients that are non-state entities, such as, metropolitan cities, counties, non-entitlement units of local government, and Tribes must comply with the procurement standards set forth in 2 CFR 200.318, through 2 CFR 200.327, when using their SLFRF award funds to procure goods and services to carry out the objectives of their SLFRF award. States, the District of Columbia, and U.S. Territories must follow their own procurement policies pursuant to 2 CFR 200.317, as well as comply with the procurement standards set forth at 2 CFR 200.321 through 2 CFR 200.323, and 2 CFR 200.327 when using their SLFRF award funds to procure goods and services to carry out the objectives of their SLFRF award. See also SLFRF Award Terms and Conditions. Recipients are prohibited from using SLFRF funds to enter into subawards and contracts with parties that are debarred, suspended, or otherwise excluded from or ineligible for participation in Federal assistance programs. See 2 CFR 200.214. Moreover, a contract made under emergency circumstances under the Coronavirus Relief Fund (CRF) cannot automatically be transferred over to SLFRF. These programs are subject to different treatment under the Uniform Guidance. Under the CRF program, recipients are permitted to use their own procurement policies to acquire goods and services to implement the objectives of the CRF award. Under the SLFRF program, recipients are required to follow the procurement standards set out in 2 CFR Part 200 (Uniform Guidance) pursuant to the SLFRF Award Terms and Conditions executed by the recipients in connection with their SLFRF awards. </w:t>
      </w:r>
    </w:p>
    <w:p w14:paraId="02FE0080" w14:textId="77777777" w:rsidR="00771F7E" w:rsidRDefault="00771F7E" w:rsidP="009372E1">
      <w:pPr>
        <w:pStyle w:val="BodyText"/>
        <w:spacing w:before="140"/>
        <w:ind w:left="540"/>
        <w:jc w:val="both"/>
      </w:pPr>
    </w:p>
    <w:p w14:paraId="20B7C7CF" w14:textId="4EA33FF5" w:rsidR="00771F7E" w:rsidRDefault="00771F7E" w:rsidP="009372E1">
      <w:pPr>
        <w:pStyle w:val="BodyText"/>
        <w:spacing w:before="140"/>
        <w:ind w:left="540"/>
        <w:jc w:val="both"/>
      </w:pPr>
      <w:r w:rsidRPr="00842A00">
        <w:rPr>
          <w:b/>
        </w:rPr>
        <w:t>SLFRF Final Rule FAQ’s</w:t>
      </w:r>
    </w:p>
    <w:p w14:paraId="1EFE3775" w14:textId="77777777" w:rsidR="00771F7E" w:rsidRPr="00771F7E" w:rsidRDefault="00771F7E" w:rsidP="009372E1">
      <w:pPr>
        <w:pStyle w:val="BodyText"/>
        <w:spacing w:before="140"/>
        <w:ind w:left="540"/>
        <w:jc w:val="both"/>
        <w:rPr>
          <w:b/>
        </w:rPr>
      </w:pPr>
      <w:r w:rsidRPr="00771F7E">
        <w:rPr>
          <w:b/>
        </w:rPr>
        <w:t xml:space="preserve">13.3. What is the threshold for competitive bidding for my government? </w:t>
      </w:r>
    </w:p>
    <w:p w14:paraId="5F995DE5" w14:textId="77777777" w:rsidR="00771F7E" w:rsidRDefault="00771F7E" w:rsidP="009372E1">
      <w:pPr>
        <w:pStyle w:val="BodyText"/>
        <w:spacing w:before="140"/>
        <w:ind w:left="540"/>
        <w:jc w:val="both"/>
      </w:pPr>
      <w:r>
        <w:t xml:space="preserve">As stated above, recipients are required to comply with the procurement standards set forth in 2 CFR 200.317 through 2 CFR 200.327 of the Uniform Administrative Requirements, Cost Principles, and Audit Requirements for Federal Awards (Uniform Guidance). Pursuant to 2 CFR 200.317, States, the District of Columbia, and U.S. Territories should refer to the competitive bidding thresholds described in their own procurement policies and procedures. </w:t>
      </w:r>
      <w:r w:rsidRPr="00E45F5C">
        <w:t>Other non-federal entities, such as metropolitan cities, counties, non-entitlement units of local government,</w:t>
      </w:r>
      <w:r>
        <w:t xml:space="preserve"> and Tribes must adhere to the competitive bidding thresholds set forth in 2 CFR 200.320 for the relevant procurement methods. 2 CFR 200.320 describes methods of </w:t>
      </w:r>
      <w:r>
        <w:lastRenderedPageBreak/>
        <w:t xml:space="preserve">procurement based on two procurement thresholds. There are two thresholds that recipients should keep in mind related to procurement requirements: the Micro purchase threshold (MPT) and the Simplified Acquisition Threshold (SAT). </w:t>
      </w:r>
    </w:p>
    <w:p w14:paraId="281B8347" w14:textId="77777777" w:rsidR="00771F7E" w:rsidRDefault="00771F7E" w:rsidP="009372E1">
      <w:pPr>
        <w:pStyle w:val="BodyText"/>
        <w:spacing w:before="140"/>
        <w:ind w:left="540"/>
        <w:jc w:val="both"/>
      </w:pPr>
      <w:r w:rsidRPr="00771F7E">
        <w:rPr>
          <w:u w:val="single"/>
        </w:rPr>
        <w:t>Micro-purchase threshold (MPT) - 2 CFR 200.320(a)(1):</w:t>
      </w:r>
      <w:r>
        <w:t xml:space="preserve"> Purchase of supplies and services for a price below the MPT, currently set at $10,000, are not required to be solicited competitively. However, there are circumstances when a recipient may have a MPT that is greater than $10,000. For example, all non-Federal entities may increase their MPT up to 50 $50,000 if they follow the protocols described in 200.320(a)(1)(iv). Additionally, non-federal entities </w:t>
      </w:r>
      <w:r w:rsidRPr="00E45F5C">
        <w:t>such as metropolitan cities, counties, non-entitlement units of local government, and T</w:t>
      </w:r>
      <w:r>
        <w:t xml:space="preserve">ribes may use their own MPT if they follow the protocols described in 200.320(a)(1)(iv). </w:t>
      </w:r>
    </w:p>
    <w:p w14:paraId="59AEE690" w14:textId="19B3F71B" w:rsidR="00771F7E" w:rsidRDefault="00771F7E" w:rsidP="009372E1">
      <w:pPr>
        <w:pStyle w:val="BodyText"/>
        <w:spacing w:before="140"/>
        <w:ind w:left="540"/>
        <w:jc w:val="both"/>
      </w:pPr>
      <w:r w:rsidRPr="00771F7E">
        <w:rPr>
          <w:u w:val="single"/>
        </w:rPr>
        <w:t>Simplified Acquisition Threshold (SAT) - 2 CFR 200.320(a)(2):</w:t>
      </w:r>
      <w:r>
        <w:t xml:space="preserve"> Purchases of property and services at a price above the recipient’s MPT and below the SAT, currently set at $250,000, may be made following the small purchase procedures described in the definition of SAT in 2 CFR 200.1 and 2 CFR 200.320(a)(2). Procurement of property and services at a price above the SAT must follow the formal procurement methods outlined in 2 CFR 200.320(b).</w:t>
      </w:r>
    </w:p>
    <w:p w14:paraId="34FBC82C" w14:textId="77777777" w:rsidR="00771F7E" w:rsidRDefault="00771F7E" w:rsidP="009372E1">
      <w:pPr>
        <w:pStyle w:val="BodyText"/>
        <w:spacing w:before="140"/>
        <w:ind w:left="540"/>
        <w:jc w:val="both"/>
      </w:pPr>
    </w:p>
    <w:p w14:paraId="05104B38" w14:textId="77777777" w:rsidR="00771F7E" w:rsidRDefault="00771F7E" w:rsidP="009372E1">
      <w:pPr>
        <w:pStyle w:val="BodyText"/>
        <w:spacing w:before="140"/>
        <w:ind w:left="540"/>
        <w:jc w:val="both"/>
      </w:pPr>
    </w:p>
    <w:p w14:paraId="03072D45" w14:textId="1F861CE5" w:rsidR="00842A00" w:rsidRDefault="00842A00" w:rsidP="009372E1">
      <w:pPr>
        <w:pStyle w:val="BodyText"/>
        <w:spacing w:before="140"/>
        <w:ind w:left="540"/>
        <w:jc w:val="both"/>
      </w:pPr>
      <w:r>
        <w:t>Under the SLFRF program, recipients must obligate all funds by December 31, 2024 and expend funds by December 31, 2026. Recipients may transfer funds to other entities, including local educational agencies, to carry out as a subrecipient an eligible use of funds by the recipient, as long as they comply with program requirements. Recipients should note that the Davis-Bacon Act requirements (prevailing wage rates) do not apply to projects funded solely with award funds from the SLFRF program, except for certain SLFRF-funded construction projects undertaken by the District of Columbia. The National Environmental Policy Act (NEPA) does not apply to Treasury’s administration of the SLFRF program, although projects supported with SLFRF funds may still be subject to NEPA review if they are also funded by other federal financial assistance programs</w:t>
      </w:r>
      <w:r w:rsidR="005D7A7F">
        <w:t>.</w:t>
      </w:r>
    </w:p>
    <w:p w14:paraId="770F317D" w14:textId="77777777" w:rsidR="007B1805" w:rsidRDefault="007B1805" w:rsidP="009372E1">
      <w:pPr>
        <w:pStyle w:val="BodyText"/>
        <w:spacing w:before="140"/>
        <w:ind w:left="540"/>
        <w:jc w:val="both"/>
      </w:pPr>
    </w:p>
    <w:p w14:paraId="45605FF2" w14:textId="77777777" w:rsidR="00842A00" w:rsidRDefault="00842A00" w:rsidP="005C63EE">
      <w:pPr>
        <w:pStyle w:val="BodyText"/>
        <w:spacing w:before="140"/>
        <w:ind w:left="540"/>
      </w:pPr>
    </w:p>
    <w:p w14:paraId="1D4DA361" w14:textId="77777777" w:rsidR="00842A00" w:rsidRPr="000B1679" w:rsidRDefault="00842A00" w:rsidP="00507523">
      <w:pPr>
        <w:pStyle w:val="BodyText"/>
        <w:spacing w:before="140"/>
      </w:pPr>
    </w:p>
    <w:p w14:paraId="46819043" w14:textId="77777777" w:rsidR="00D90253" w:rsidRPr="000B1679" w:rsidRDefault="000B1679" w:rsidP="00507523">
      <w:pPr>
        <w:pStyle w:val="BodyText"/>
        <w:spacing w:before="140"/>
        <w:rPr>
          <w:u w:val="single"/>
        </w:rPr>
      </w:pPr>
      <w:r w:rsidRPr="000B1679">
        <w:t>By:</w:t>
      </w:r>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00FC35FE">
        <w:rPr>
          <w:u w:val="single"/>
        </w:rPr>
        <w:tab/>
      </w:r>
      <w:r w:rsidR="00FC35FE">
        <w:rPr>
          <w:u w:val="single"/>
        </w:rPr>
        <w:tab/>
      </w:r>
    </w:p>
    <w:p w14:paraId="738833E0" w14:textId="77777777" w:rsidR="000B1679" w:rsidRPr="000B1679" w:rsidRDefault="000B1679" w:rsidP="00507523">
      <w:pPr>
        <w:pStyle w:val="BodyText"/>
        <w:spacing w:before="140"/>
        <w:rPr>
          <w:u w:val="single"/>
        </w:rPr>
      </w:pPr>
    </w:p>
    <w:p w14:paraId="4B3B1AE6" w14:textId="77777777" w:rsidR="000B1679" w:rsidRPr="000B1679" w:rsidRDefault="000B1679" w:rsidP="00507523">
      <w:pPr>
        <w:pStyle w:val="BodyText"/>
        <w:spacing w:before="140"/>
        <w:rPr>
          <w:u w:val="single"/>
        </w:rPr>
      </w:pPr>
      <w:r w:rsidRPr="000B1679">
        <w:t>Authorized Physical Signature:</w:t>
      </w:r>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p>
    <w:p w14:paraId="3583D394" w14:textId="77777777" w:rsidR="000B1679" w:rsidRPr="000B1679" w:rsidRDefault="000B1679" w:rsidP="00507523">
      <w:pPr>
        <w:pStyle w:val="BodyText"/>
        <w:spacing w:before="140"/>
        <w:rPr>
          <w:u w:val="single"/>
        </w:rPr>
      </w:pPr>
      <w:r w:rsidRPr="000B1679">
        <w:t xml:space="preserve">Title:  </w:t>
      </w:r>
      <w:r w:rsidRPr="000B1679">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00FC35FE">
        <w:rPr>
          <w:u w:val="single"/>
        </w:rPr>
        <w:tab/>
      </w:r>
      <w:r w:rsidR="00FC35FE">
        <w:rPr>
          <w:u w:val="single"/>
        </w:rPr>
        <w:tab/>
      </w:r>
    </w:p>
    <w:p w14:paraId="1D58AF6E" w14:textId="77777777" w:rsidR="000B1679" w:rsidRPr="000B1679" w:rsidRDefault="000B1679" w:rsidP="00507523">
      <w:pPr>
        <w:pStyle w:val="BodyText"/>
        <w:spacing w:before="140"/>
        <w:rPr>
          <w:u w:val="single"/>
        </w:rPr>
      </w:pPr>
      <w:r w:rsidRPr="000B1679">
        <w:t>Date:</w:t>
      </w:r>
      <w:r w:rsidRPr="000B1679">
        <w:tab/>
      </w:r>
      <w:r w:rsidRPr="000B1679">
        <w:rPr>
          <w:u w:val="single"/>
        </w:rPr>
        <w:tab/>
      </w:r>
      <w:r w:rsidRPr="000B1679">
        <w:rPr>
          <w:u w:val="single"/>
        </w:rPr>
        <w:tab/>
      </w:r>
      <w:r w:rsidRPr="000B1679">
        <w:rPr>
          <w:u w:val="single"/>
        </w:rPr>
        <w:tab/>
      </w:r>
      <w:r w:rsidRPr="000B1679">
        <w:rPr>
          <w:u w:val="single"/>
        </w:rPr>
        <w:tab/>
      </w:r>
      <w:bookmarkEnd w:id="0"/>
      <w:r w:rsidRPr="000B1679">
        <w:rPr>
          <w:u w:val="single"/>
        </w:rPr>
        <w:tab/>
      </w:r>
      <w:r w:rsidRPr="000B1679">
        <w:rPr>
          <w:u w:val="single"/>
        </w:rPr>
        <w:tab/>
      </w:r>
      <w:r w:rsidRPr="000B1679">
        <w:rPr>
          <w:u w:val="single"/>
        </w:rPr>
        <w:tab/>
      </w:r>
      <w:r w:rsidRPr="000B1679">
        <w:rPr>
          <w:u w:val="single"/>
        </w:rPr>
        <w:tab/>
      </w:r>
      <w:r w:rsidRPr="000B1679">
        <w:rPr>
          <w:u w:val="single"/>
        </w:rPr>
        <w:tab/>
      </w:r>
      <w:r w:rsidRPr="000B1679">
        <w:rPr>
          <w:u w:val="single"/>
        </w:rPr>
        <w:tab/>
      </w:r>
      <w:r w:rsidR="00FC35FE">
        <w:rPr>
          <w:u w:val="single"/>
        </w:rPr>
        <w:tab/>
      </w:r>
      <w:r w:rsidR="00FC35FE">
        <w:rPr>
          <w:u w:val="single"/>
        </w:rPr>
        <w:tab/>
      </w:r>
    </w:p>
    <w:sectPr w:rsidR="000B1679" w:rsidRPr="000B1679" w:rsidSect="00F972B5">
      <w:footerReference w:type="default" r:id="rId18"/>
      <w:type w:val="continuous"/>
      <w:pgSz w:w="12240" w:h="15840"/>
      <w:pgMar w:top="720" w:right="1440" w:bottom="72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85A26" w14:textId="77777777" w:rsidR="00D43AB4" w:rsidRDefault="00D43AB4" w:rsidP="009C02C7">
      <w:r>
        <w:separator/>
      </w:r>
    </w:p>
  </w:endnote>
  <w:endnote w:type="continuationSeparator" w:id="0">
    <w:p w14:paraId="3FC78E55" w14:textId="77777777" w:rsidR="00D43AB4" w:rsidRDefault="00D43AB4" w:rsidP="009C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033361"/>
      <w:docPartObj>
        <w:docPartGallery w:val="Page Numbers (Bottom of Page)"/>
        <w:docPartUnique/>
      </w:docPartObj>
    </w:sdtPr>
    <w:sdtEndPr>
      <w:rPr>
        <w:noProof/>
      </w:rPr>
    </w:sdtEndPr>
    <w:sdtContent>
      <w:p w14:paraId="3E7B29C4" w14:textId="6468791E" w:rsidR="00110E6B" w:rsidRDefault="00110E6B">
        <w:pPr>
          <w:pStyle w:val="Footer"/>
          <w:jc w:val="center"/>
        </w:pPr>
        <w:r>
          <w:fldChar w:fldCharType="begin"/>
        </w:r>
        <w:r>
          <w:instrText xml:space="preserve"> PAGE   \* MERGEFORMAT </w:instrText>
        </w:r>
        <w:r>
          <w:fldChar w:fldCharType="separate"/>
        </w:r>
        <w:r w:rsidR="00B10D7E">
          <w:rPr>
            <w:noProof/>
          </w:rPr>
          <w:t>4</w:t>
        </w:r>
        <w:r>
          <w:rPr>
            <w:noProof/>
          </w:rPr>
          <w:fldChar w:fldCharType="end"/>
        </w:r>
      </w:p>
    </w:sdtContent>
  </w:sdt>
  <w:p w14:paraId="2CDD6ACA" w14:textId="77777777" w:rsidR="00110E6B" w:rsidRDefault="00110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231C9" w14:textId="77777777" w:rsidR="00D43AB4" w:rsidRDefault="00D43AB4" w:rsidP="009C02C7">
      <w:r>
        <w:separator/>
      </w:r>
    </w:p>
  </w:footnote>
  <w:footnote w:type="continuationSeparator" w:id="0">
    <w:p w14:paraId="4F26C562" w14:textId="77777777" w:rsidR="00D43AB4" w:rsidRDefault="00D43AB4" w:rsidP="009C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2ED"/>
    <w:multiLevelType w:val="hybridMultilevel"/>
    <w:tmpl w:val="311A3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3F24D0"/>
    <w:multiLevelType w:val="hybridMultilevel"/>
    <w:tmpl w:val="00B0D556"/>
    <w:lvl w:ilvl="0" w:tplc="04090001">
      <w:start w:val="1"/>
      <w:numFmt w:val="bullet"/>
      <w:lvlText w:val=""/>
      <w:lvlJc w:val="left"/>
      <w:pPr>
        <w:ind w:left="1676" w:hanging="360"/>
      </w:pPr>
      <w:rPr>
        <w:rFonts w:ascii="Symbol" w:hAnsi="Symbol" w:hint="default"/>
      </w:rPr>
    </w:lvl>
    <w:lvl w:ilvl="1" w:tplc="04090003" w:tentative="1">
      <w:start w:val="1"/>
      <w:numFmt w:val="bullet"/>
      <w:lvlText w:val="o"/>
      <w:lvlJc w:val="left"/>
      <w:pPr>
        <w:ind w:left="2396" w:hanging="360"/>
      </w:pPr>
      <w:rPr>
        <w:rFonts w:ascii="Courier New" w:hAnsi="Courier New" w:cs="Courier New" w:hint="default"/>
      </w:rPr>
    </w:lvl>
    <w:lvl w:ilvl="2" w:tplc="04090005" w:tentative="1">
      <w:start w:val="1"/>
      <w:numFmt w:val="bullet"/>
      <w:lvlText w:val=""/>
      <w:lvlJc w:val="left"/>
      <w:pPr>
        <w:ind w:left="3116" w:hanging="360"/>
      </w:pPr>
      <w:rPr>
        <w:rFonts w:ascii="Wingdings" w:hAnsi="Wingdings" w:hint="default"/>
      </w:rPr>
    </w:lvl>
    <w:lvl w:ilvl="3" w:tplc="04090001" w:tentative="1">
      <w:start w:val="1"/>
      <w:numFmt w:val="bullet"/>
      <w:lvlText w:val=""/>
      <w:lvlJc w:val="left"/>
      <w:pPr>
        <w:ind w:left="3836" w:hanging="360"/>
      </w:pPr>
      <w:rPr>
        <w:rFonts w:ascii="Symbol" w:hAnsi="Symbol" w:hint="default"/>
      </w:rPr>
    </w:lvl>
    <w:lvl w:ilvl="4" w:tplc="04090003" w:tentative="1">
      <w:start w:val="1"/>
      <w:numFmt w:val="bullet"/>
      <w:lvlText w:val="o"/>
      <w:lvlJc w:val="left"/>
      <w:pPr>
        <w:ind w:left="4556" w:hanging="360"/>
      </w:pPr>
      <w:rPr>
        <w:rFonts w:ascii="Courier New" w:hAnsi="Courier New" w:cs="Courier New" w:hint="default"/>
      </w:rPr>
    </w:lvl>
    <w:lvl w:ilvl="5" w:tplc="04090005" w:tentative="1">
      <w:start w:val="1"/>
      <w:numFmt w:val="bullet"/>
      <w:lvlText w:val=""/>
      <w:lvlJc w:val="left"/>
      <w:pPr>
        <w:ind w:left="5276" w:hanging="360"/>
      </w:pPr>
      <w:rPr>
        <w:rFonts w:ascii="Wingdings" w:hAnsi="Wingdings" w:hint="default"/>
      </w:rPr>
    </w:lvl>
    <w:lvl w:ilvl="6" w:tplc="04090001" w:tentative="1">
      <w:start w:val="1"/>
      <w:numFmt w:val="bullet"/>
      <w:lvlText w:val=""/>
      <w:lvlJc w:val="left"/>
      <w:pPr>
        <w:ind w:left="5996" w:hanging="360"/>
      </w:pPr>
      <w:rPr>
        <w:rFonts w:ascii="Symbol" w:hAnsi="Symbol" w:hint="default"/>
      </w:rPr>
    </w:lvl>
    <w:lvl w:ilvl="7" w:tplc="04090003" w:tentative="1">
      <w:start w:val="1"/>
      <w:numFmt w:val="bullet"/>
      <w:lvlText w:val="o"/>
      <w:lvlJc w:val="left"/>
      <w:pPr>
        <w:ind w:left="6716" w:hanging="360"/>
      </w:pPr>
      <w:rPr>
        <w:rFonts w:ascii="Courier New" w:hAnsi="Courier New" w:cs="Courier New" w:hint="default"/>
      </w:rPr>
    </w:lvl>
    <w:lvl w:ilvl="8" w:tplc="04090005" w:tentative="1">
      <w:start w:val="1"/>
      <w:numFmt w:val="bullet"/>
      <w:lvlText w:val=""/>
      <w:lvlJc w:val="left"/>
      <w:pPr>
        <w:ind w:left="7436" w:hanging="360"/>
      </w:pPr>
      <w:rPr>
        <w:rFonts w:ascii="Wingdings" w:hAnsi="Wingdings" w:hint="default"/>
      </w:rPr>
    </w:lvl>
  </w:abstractNum>
  <w:abstractNum w:abstractNumId="2" w15:restartNumberingAfterBreak="0">
    <w:nsid w:val="17B05EF7"/>
    <w:multiLevelType w:val="hybridMultilevel"/>
    <w:tmpl w:val="0838999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0F46110"/>
    <w:multiLevelType w:val="hybridMultilevel"/>
    <w:tmpl w:val="697077D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50038CD"/>
    <w:multiLevelType w:val="hybridMultilevel"/>
    <w:tmpl w:val="CB5ADF60"/>
    <w:lvl w:ilvl="0" w:tplc="2062B1BC">
      <w:start w:val="1"/>
      <w:numFmt w:val="decimal"/>
      <w:lvlText w:val="%1."/>
      <w:lvlJc w:val="left"/>
      <w:pPr>
        <w:ind w:left="496" w:hanging="360"/>
      </w:pPr>
      <w:rPr>
        <w:rFonts w:hint="default"/>
        <w:sz w:val="24"/>
        <w:szCs w:val="24"/>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5" w15:restartNumberingAfterBreak="0">
    <w:nsid w:val="27E24892"/>
    <w:multiLevelType w:val="hybridMultilevel"/>
    <w:tmpl w:val="A1DCD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95753"/>
    <w:multiLevelType w:val="hybridMultilevel"/>
    <w:tmpl w:val="697077D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2D963FA"/>
    <w:multiLevelType w:val="hybridMultilevel"/>
    <w:tmpl w:val="93744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01A84"/>
    <w:multiLevelType w:val="hybridMultilevel"/>
    <w:tmpl w:val="BAF84CEA"/>
    <w:lvl w:ilvl="0" w:tplc="07D0F884">
      <w:start w:val="1"/>
      <w:numFmt w:val="decimal"/>
      <w:lvlText w:val="%1."/>
      <w:lvlJc w:val="left"/>
      <w:pPr>
        <w:ind w:left="496"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A0225"/>
    <w:multiLevelType w:val="multilevel"/>
    <w:tmpl w:val="F800D074"/>
    <w:lvl w:ilvl="0">
      <w:start w:val="1"/>
      <w:numFmt w:val="decimal"/>
      <w:lvlText w:val="%1."/>
      <w:lvlJc w:val="left"/>
      <w:pPr>
        <w:ind w:left="1139" w:hanging="288"/>
      </w:pPr>
      <w:rPr>
        <w:rFonts w:ascii="Times New Roman" w:eastAsia="Times New Roman" w:hAnsi="Times New Roman" w:cs="Times New Roman" w:hint="default"/>
        <w:b/>
        <w:bCs/>
        <w:i w:val="0"/>
        <w:iCs w:val="0"/>
        <w:w w:val="99"/>
        <w:sz w:val="28"/>
        <w:szCs w:val="28"/>
        <w:lang w:val="en-US" w:eastAsia="en-US" w:bidi="ar-SA"/>
      </w:rPr>
    </w:lvl>
    <w:lvl w:ilvl="1">
      <w:start w:val="1"/>
      <w:numFmt w:val="decimal"/>
      <w:lvlText w:val="%1.%2."/>
      <w:lvlJc w:val="left"/>
      <w:pPr>
        <w:ind w:left="1423" w:hanging="428"/>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860" w:hanging="360"/>
      </w:pPr>
      <w:rPr>
        <w:rFonts w:ascii="Symbol" w:eastAsia="Symbol" w:hAnsi="Symbol" w:cs="Symbol" w:hint="default"/>
        <w:w w:val="100"/>
        <w:lang w:val="en-US" w:eastAsia="en-US" w:bidi="ar-SA"/>
      </w:rPr>
    </w:lvl>
    <w:lvl w:ilvl="3">
      <w:numFmt w:val="bullet"/>
      <w:lvlText w:val="o"/>
      <w:lvlJc w:val="left"/>
      <w:pPr>
        <w:ind w:left="2580" w:hanging="360"/>
      </w:pPr>
      <w:rPr>
        <w:rFonts w:ascii="Courier New" w:eastAsia="Courier New" w:hAnsi="Courier New" w:cs="Courier New" w:hint="default"/>
        <w:w w:val="99"/>
        <w:lang w:val="en-US" w:eastAsia="en-US" w:bidi="ar-SA"/>
      </w:rPr>
    </w:lvl>
    <w:lvl w:ilvl="4">
      <w:numFmt w:val="bullet"/>
      <w:lvlText w:val=""/>
      <w:lvlJc w:val="left"/>
      <w:pPr>
        <w:ind w:left="2940" w:hanging="360"/>
      </w:pPr>
      <w:rPr>
        <w:rFonts w:ascii="Wingdings" w:eastAsia="Wingdings" w:hAnsi="Wingdings" w:cs="Wingdings" w:hint="default"/>
        <w:w w:val="99"/>
        <w:lang w:val="en-US" w:eastAsia="en-US" w:bidi="ar-SA"/>
      </w:rPr>
    </w:lvl>
    <w:lvl w:ilvl="5">
      <w:numFmt w:val="bullet"/>
      <w:lvlText w:val="•"/>
      <w:lvlJc w:val="left"/>
      <w:pPr>
        <w:ind w:left="2220" w:hanging="360"/>
      </w:pPr>
      <w:rPr>
        <w:rFonts w:hint="default"/>
        <w:lang w:val="en-US" w:eastAsia="en-US" w:bidi="ar-SA"/>
      </w:rPr>
    </w:lvl>
    <w:lvl w:ilvl="6">
      <w:numFmt w:val="bullet"/>
      <w:lvlText w:val="•"/>
      <w:lvlJc w:val="left"/>
      <w:pPr>
        <w:ind w:left="2580" w:hanging="360"/>
      </w:pPr>
      <w:rPr>
        <w:rFonts w:hint="default"/>
        <w:lang w:val="en-US" w:eastAsia="en-US" w:bidi="ar-SA"/>
      </w:rPr>
    </w:lvl>
    <w:lvl w:ilvl="7">
      <w:numFmt w:val="bullet"/>
      <w:lvlText w:val="•"/>
      <w:lvlJc w:val="left"/>
      <w:pPr>
        <w:ind w:left="2940" w:hanging="360"/>
      </w:pPr>
      <w:rPr>
        <w:rFonts w:hint="default"/>
        <w:lang w:val="en-US" w:eastAsia="en-US" w:bidi="ar-SA"/>
      </w:rPr>
    </w:lvl>
    <w:lvl w:ilvl="8">
      <w:numFmt w:val="bullet"/>
      <w:lvlText w:val="•"/>
      <w:lvlJc w:val="left"/>
      <w:pPr>
        <w:ind w:left="5286" w:hanging="360"/>
      </w:pPr>
      <w:rPr>
        <w:rFonts w:hint="default"/>
        <w:lang w:val="en-US" w:eastAsia="en-US" w:bidi="ar-SA"/>
      </w:rPr>
    </w:lvl>
  </w:abstractNum>
  <w:abstractNum w:abstractNumId="10" w15:restartNumberingAfterBreak="0">
    <w:nsid w:val="50714CEE"/>
    <w:multiLevelType w:val="hybridMultilevel"/>
    <w:tmpl w:val="2ECA5AB8"/>
    <w:lvl w:ilvl="0" w:tplc="C25A75EC">
      <w:start w:val="1"/>
      <w:numFmt w:val="decimal"/>
      <w:lvlText w:val="%1."/>
      <w:lvlJc w:val="left"/>
      <w:pPr>
        <w:ind w:left="136" w:hanging="240"/>
      </w:pPr>
      <w:rPr>
        <w:rFonts w:ascii="Times New Roman" w:eastAsia="Times New Roman" w:hAnsi="Times New Roman" w:cs="Times New Roman" w:hint="default"/>
        <w:spacing w:val="-1"/>
        <w:w w:val="100"/>
        <w:sz w:val="24"/>
        <w:szCs w:val="24"/>
      </w:rPr>
    </w:lvl>
    <w:lvl w:ilvl="1" w:tplc="4E0A32D8">
      <w:numFmt w:val="bullet"/>
      <w:lvlText w:val="•"/>
      <w:lvlJc w:val="left"/>
      <w:pPr>
        <w:ind w:left="1048" w:hanging="240"/>
      </w:pPr>
      <w:rPr>
        <w:rFonts w:hint="default"/>
      </w:rPr>
    </w:lvl>
    <w:lvl w:ilvl="2" w:tplc="14846FD8">
      <w:numFmt w:val="bullet"/>
      <w:lvlText w:val="•"/>
      <w:lvlJc w:val="left"/>
      <w:pPr>
        <w:ind w:left="1957" w:hanging="240"/>
      </w:pPr>
      <w:rPr>
        <w:rFonts w:hint="default"/>
      </w:rPr>
    </w:lvl>
    <w:lvl w:ilvl="3" w:tplc="23AA7664">
      <w:numFmt w:val="bullet"/>
      <w:lvlText w:val="•"/>
      <w:lvlJc w:val="left"/>
      <w:pPr>
        <w:ind w:left="2866" w:hanging="240"/>
      </w:pPr>
      <w:rPr>
        <w:rFonts w:hint="default"/>
      </w:rPr>
    </w:lvl>
    <w:lvl w:ilvl="4" w:tplc="3946C1EC">
      <w:numFmt w:val="bullet"/>
      <w:lvlText w:val="•"/>
      <w:lvlJc w:val="left"/>
      <w:pPr>
        <w:ind w:left="3774" w:hanging="240"/>
      </w:pPr>
      <w:rPr>
        <w:rFonts w:hint="default"/>
      </w:rPr>
    </w:lvl>
    <w:lvl w:ilvl="5" w:tplc="21DEAFE2">
      <w:numFmt w:val="bullet"/>
      <w:lvlText w:val="•"/>
      <w:lvlJc w:val="left"/>
      <w:pPr>
        <w:ind w:left="4683" w:hanging="240"/>
      </w:pPr>
      <w:rPr>
        <w:rFonts w:hint="default"/>
      </w:rPr>
    </w:lvl>
    <w:lvl w:ilvl="6" w:tplc="E2A44386">
      <w:numFmt w:val="bullet"/>
      <w:lvlText w:val="•"/>
      <w:lvlJc w:val="left"/>
      <w:pPr>
        <w:ind w:left="5592" w:hanging="240"/>
      </w:pPr>
      <w:rPr>
        <w:rFonts w:hint="default"/>
      </w:rPr>
    </w:lvl>
    <w:lvl w:ilvl="7" w:tplc="EB6066FC">
      <w:numFmt w:val="bullet"/>
      <w:lvlText w:val="•"/>
      <w:lvlJc w:val="left"/>
      <w:pPr>
        <w:ind w:left="6500" w:hanging="240"/>
      </w:pPr>
      <w:rPr>
        <w:rFonts w:hint="default"/>
      </w:rPr>
    </w:lvl>
    <w:lvl w:ilvl="8" w:tplc="4066FC16">
      <w:numFmt w:val="bullet"/>
      <w:lvlText w:val="•"/>
      <w:lvlJc w:val="left"/>
      <w:pPr>
        <w:ind w:left="7409" w:hanging="240"/>
      </w:pPr>
      <w:rPr>
        <w:rFonts w:hint="default"/>
      </w:rPr>
    </w:lvl>
  </w:abstractNum>
  <w:abstractNum w:abstractNumId="11" w15:restartNumberingAfterBreak="0">
    <w:nsid w:val="58AF6D18"/>
    <w:multiLevelType w:val="hybridMultilevel"/>
    <w:tmpl w:val="E6A87016"/>
    <w:lvl w:ilvl="0" w:tplc="984AC948">
      <w:numFmt w:val="bullet"/>
      <w:lvlText w:val=""/>
      <w:lvlJc w:val="left"/>
      <w:pPr>
        <w:ind w:left="1093" w:hanging="361"/>
      </w:pPr>
      <w:rPr>
        <w:rFonts w:ascii="Wingdings" w:eastAsia="Wingdings" w:hAnsi="Wingdings" w:cs="Wingdings" w:hint="default"/>
        <w:b w:val="0"/>
        <w:bCs w:val="0"/>
        <w:i w:val="0"/>
        <w:iCs w:val="0"/>
        <w:color w:val="2D74B5"/>
        <w:w w:val="99"/>
        <w:sz w:val="22"/>
        <w:szCs w:val="22"/>
        <w:lang w:val="en-US" w:eastAsia="en-US" w:bidi="ar-SA"/>
      </w:rPr>
    </w:lvl>
    <w:lvl w:ilvl="1" w:tplc="4510DEE2">
      <w:numFmt w:val="bullet"/>
      <w:lvlText w:val=""/>
      <w:lvlJc w:val="left"/>
      <w:pPr>
        <w:ind w:left="920" w:hanging="361"/>
      </w:pPr>
      <w:rPr>
        <w:rFonts w:ascii="Symbol" w:eastAsia="Symbol" w:hAnsi="Symbol" w:cs="Symbol" w:hint="default"/>
        <w:b w:val="0"/>
        <w:bCs w:val="0"/>
        <w:i w:val="0"/>
        <w:iCs w:val="0"/>
        <w:w w:val="99"/>
        <w:sz w:val="22"/>
        <w:szCs w:val="22"/>
        <w:lang w:val="en-US" w:eastAsia="en-US" w:bidi="ar-SA"/>
      </w:rPr>
    </w:lvl>
    <w:lvl w:ilvl="2" w:tplc="2FF64310">
      <w:numFmt w:val="bullet"/>
      <w:lvlText w:val="•"/>
      <w:lvlJc w:val="left"/>
      <w:pPr>
        <w:ind w:left="1522" w:hanging="361"/>
      </w:pPr>
      <w:rPr>
        <w:rFonts w:hint="default"/>
        <w:lang w:val="en-US" w:eastAsia="en-US" w:bidi="ar-SA"/>
      </w:rPr>
    </w:lvl>
    <w:lvl w:ilvl="3" w:tplc="42E2680A">
      <w:numFmt w:val="bullet"/>
      <w:lvlText w:val="•"/>
      <w:lvlJc w:val="left"/>
      <w:pPr>
        <w:ind w:left="1944" w:hanging="361"/>
      </w:pPr>
      <w:rPr>
        <w:rFonts w:hint="default"/>
        <w:lang w:val="en-US" w:eastAsia="en-US" w:bidi="ar-SA"/>
      </w:rPr>
    </w:lvl>
    <w:lvl w:ilvl="4" w:tplc="9EA22832">
      <w:numFmt w:val="bullet"/>
      <w:lvlText w:val="•"/>
      <w:lvlJc w:val="left"/>
      <w:pPr>
        <w:ind w:left="2366" w:hanging="361"/>
      </w:pPr>
      <w:rPr>
        <w:rFonts w:hint="default"/>
        <w:lang w:val="en-US" w:eastAsia="en-US" w:bidi="ar-SA"/>
      </w:rPr>
    </w:lvl>
    <w:lvl w:ilvl="5" w:tplc="76DE95F8">
      <w:numFmt w:val="bullet"/>
      <w:lvlText w:val="•"/>
      <w:lvlJc w:val="left"/>
      <w:pPr>
        <w:ind w:left="2788" w:hanging="361"/>
      </w:pPr>
      <w:rPr>
        <w:rFonts w:hint="default"/>
        <w:lang w:val="en-US" w:eastAsia="en-US" w:bidi="ar-SA"/>
      </w:rPr>
    </w:lvl>
    <w:lvl w:ilvl="6" w:tplc="DAEE8168">
      <w:numFmt w:val="bullet"/>
      <w:lvlText w:val="•"/>
      <w:lvlJc w:val="left"/>
      <w:pPr>
        <w:ind w:left="3210" w:hanging="361"/>
      </w:pPr>
      <w:rPr>
        <w:rFonts w:hint="default"/>
        <w:lang w:val="en-US" w:eastAsia="en-US" w:bidi="ar-SA"/>
      </w:rPr>
    </w:lvl>
    <w:lvl w:ilvl="7" w:tplc="DF82248A">
      <w:numFmt w:val="bullet"/>
      <w:lvlText w:val="•"/>
      <w:lvlJc w:val="left"/>
      <w:pPr>
        <w:ind w:left="3632" w:hanging="361"/>
      </w:pPr>
      <w:rPr>
        <w:rFonts w:hint="default"/>
        <w:lang w:val="en-US" w:eastAsia="en-US" w:bidi="ar-SA"/>
      </w:rPr>
    </w:lvl>
    <w:lvl w:ilvl="8" w:tplc="3F868712">
      <w:numFmt w:val="bullet"/>
      <w:lvlText w:val="•"/>
      <w:lvlJc w:val="left"/>
      <w:pPr>
        <w:ind w:left="4054" w:hanging="361"/>
      </w:pPr>
      <w:rPr>
        <w:rFonts w:hint="default"/>
        <w:lang w:val="en-US" w:eastAsia="en-US" w:bidi="ar-SA"/>
      </w:rPr>
    </w:lvl>
  </w:abstractNum>
  <w:abstractNum w:abstractNumId="12" w15:restartNumberingAfterBreak="0">
    <w:nsid w:val="66B462DB"/>
    <w:multiLevelType w:val="hybridMultilevel"/>
    <w:tmpl w:val="3B56E15C"/>
    <w:lvl w:ilvl="0" w:tplc="07D0F884">
      <w:start w:val="1"/>
      <w:numFmt w:val="decimal"/>
      <w:lvlText w:val="%1."/>
      <w:lvlJc w:val="left"/>
      <w:pPr>
        <w:ind w:left="496"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F20DD8"/>
    <w:multiLevelType w:val="hybridMultilevel"/>
    <w:tmpl w:val="B31A8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4319CF"/>
    <w:multiLevelType w:val="hybridMultilevel"/>
    <w:tmpl w:val="C2ACD5B0"/>
    <w:lvl w:ilvl="0" w:tplc="07D0F884">
      <w:start w:val="1"/>
      <w:numFmt w:val="decimal"/>
      <w:lvlText w:val="%1."/>
      <w:lvlJc w:val="left"/>
      <w:pPr>
        <w:ind w:left="496"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2"/>
  </w:num>
  <w:num w:numId="4">
    <w:abstractNumId w:val="13"/>
  </w:num>
  <w:num w:numId="5">
    <w:abstractNumId w:val="0"/>
  </w:num>
  <w:num w:numId="6">
    <w:abstractNumId w:val="8"/>
  </w:num>
  <w:num w:numId="7">
    <w:abstractNumId w:val="9"/>
  </w:num>
  <w:num w:numId="8">
    <w:abstractNumId w:val="2"/>
  </w:num>
  <w:num w:numId="9">
    <w:abstractNumId w:val="7"/>
  </w:num>
  <w:num w:numId="10">
    <w:abstractNumId w:val="5"/>
  </w:num>
  <w:num w:numId="11">
    <w:abstractNumId w:val="6"/>
  </w:num>
  <w:num w:numId="12">
    <w:abstractNumId w:val="3"/>
  </w:num>
  <w:num w:numId="13">
    <w:abstractNumId w:val="1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8D"/>
    <w:rsid w:val="00045FB4"/>
    <w:rsid w:val="000B1679"/>
    <w:rsid w:val="000F30A1"/>
    <w:rsid w:val="00110E6B"/>
    <w:rsid w:val="001169F2"/>
    <w:rsid w:val="0016432A"/>
    <w:rsid w:val="001A3C58"/>
    <w:rsid w:val="002009D2"/>
    <w:rsid w:val="00217474"/>
    <w:rsid w:val="00230BB3"/>
    <w:rsid w:val="00231718"/>
    <w:rsid w:val="002361D6"/>
    <w:rsid w:val="002B4631"/>
    <w:rsid w:val="002C275C"/>
    <w:rsid w:val="00346E0D"/>
    <w:rsid w:val="0037018C"/>
    <w:rsid w:val="0038570F"/>
    <w:rsid w:val="003877CE"/>
    <w:rsid w:val="003D0523"/>
    <w:rsid w:val="003E726E"/>
    <w:rsid w:val="0043278E"/>
    <w:rsid w:val="00434254"/>
    <w:rsid w:val="0047352B"/>
    <w:rsid w:val="00482E4C"/>
    <w:rsid w:val="00507523"/>
    <w:rsid w:val="0051085A"/>
    <w:rsid w:val="00532B2A"/>
    <w:rsid w:val="00534BB7"/>
    <w:rsid w:val="00547B2C"/>
    <w:rsid w:val="005808FC"/>
    <w:rsid w:val="005C63EE"/>
    <w:rsid w:val="005D7A7F"/>
    <w:rsid w:val="005E4099"/>
    <w:rsid w:val="005E6D84"/>
    <w:rsid w:val="005E73C2"/>
    <w:rsid w:val="006529A9"/>
    <w:rsid w:val="006818BC"/>
    <w:rsid w:val="006C0FF5"/>
    <w:rsid w:val="006C1CEC"/>
    <w:rsid w:val="006D5A6E"/>
    <w:rsid w:val="00707465"/>
    <w:rsid w:val="00720476"/>
    <w:rsid w:val="00720613"/>
    <w:rsid w:val="00771F7E"/>
    <w:rsid w:val="007924D0"/>
    <w:rsid w:val="007B1805"/>
    <w:rsid w:val="007C6F76"/>
    <w:rsid w:val="007E463C"/>
    <w:rsid w:val="00825B62"/>
    <w:rsid w:val="008360D4"/>
    <w:rsid w:val="00842A00"/>
    <w:rsid w:val="009372E1"/>
    <w:rsid w:val="009C02C7"/>
    <w:rsid w:val="00A21FFC"/>
    <w:rsid w:val="00A54062"/>
    <w:rsid w:val="00A57FE2"/>
    <w:rsid w:val="00A74405"/>
    <w:rsid w:val="00B10D7E"/>
    <w:rsid w:val="00B7675D"/>
    <w:rsid w:val="00BD6FEB"/>
    <w:rsid w:val="00BE6E11"/>
    <w:rsid w:val="00C1257D"/>
    <w:rsid w:val="00C3657D"/>
    <w:rsid w:val="00C96B1D"/>
    <w:rsid w:val="00CB7F18"/>
    <w:rsid w:val="00CE0E6C"/>
    <w:rsid w:val="00D36948"/>
    <w:rsid w:val="00D43AB4"/>
    <w:rsid w:val="00D90253"/>
    <w:rsid w:val="00D9451C"/>
    <w:rsid w:val="00DF7C05"/>
    <w:rsid w:val="00E2638D"/>
    <w:rsid w:val="00E45F5C"/>
    <w:rsid w:val="00E4790F"/>
    <w:rsid w:val="00E710E8"/>
    <w:rsid w:val="00E72504"/>
    <w:rsid w:val="00EE5644"/>
    <w:rsid w:val="00F972B5"/>
    <w:rsid w:val="00FB5155"/>
    <w:rsid w:val="00FC0BE1"/>
    <w:rsid w:val="00FC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FF306"/>
  <w15:docId w15:val="{9F037CF8-9F57-4C1A-BEFF-14C62AB9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
      <w:ind w:left="1728"/>
      <w:outlineLvl w:val="0"/>
    </w:pPr>
    <w:rPr>
      <w:b/>
      <w:bCs/>
      <w:sz w:val="24"/>
      <w:szCs w:val="24"/>
    </w:rPr>
  </w:style>
  <w:style w:type="paragraph" w:styleId="Heading2">
    <w:name w:val="heading 2"/>
    <w:basedOn w:val="Normal"/>
    <w:next w:val="Normal"/>
    <w:link w:val="Heading2Char"/>
    <w:uiPriority w:val="9"/>
    <w:semiHidden/>
    <w:unhideWhenUsed/>
    <w:qFormat/>
    <w:rsid w:val="00842A0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50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02C7"/>
    <w:pPr>
      <w:tabs>
        <w:tab w:val="center" w:pos="4680"/>
        <w:tab w:val="right" w:pos="9360"/>
      </w:tabs>
    </w:pPr>
  </w:style>
  <w:style w:type="character" w:customStyle="1" w:styleId="HeaderChar">
    <w:name w:val="Header Char"/>
    <w:basedOn w:val="DefaultParagraphFont"/>
    <w:link w:val="Header"/>
    <w:uiPriority w:val="99"/>
    <w:rsid w:val="009C02C7"/>
    <w:rPr>
      <w:rFonts w:ascii="Times New Roman" w:eastAsia="Times New Roman" w:hAnsi="Times New Roman" w:cs="Times New Roman"/>
    </w:rPr>
  </w:style>
  <w:style w:type="paragraph" w:styleId="Footer">
    <w:name w:val="footer"/>
    <w:basedOn w:val="Normal"/>
    <w:link w:val="FooterChar"/>
    <w:uiPriority w:val="99"/>
    <w:unhideWhenUsed/>
    <w:rsid w:val="009C02C7"/>
    <w:pPr>
      <w:tabs>
        <w:tab w:val="center" w:pos="4680"/>
        <w:tab w:val="right" w:pos="9360"/>
      </w:tabs>
    </w:pPr>
  </w:style>
  <w:style w:type="character" w:customStyle="1" w:styleId="FooterChar">
    <w:name w:val="Footer Char"/>
    <w:basedOn w:val="DefaultParagraphFont"/>
    <w:link w:val="Footer"/>
    <w:uiPriority w:val="99"/>
    <w:rsid w:val="009C02C7"/>
    <w:rPr>
      <w:rFonts w:ascii="Times New Roman" w:eastAsia="Times New Roman" w:hAnsi="Times New Roman" w:cs="Times New Roman"/>
    </w:rPr>
  </w:style>
  <w:style w:type="table" w:styleId="TableGrid">
    <w:name w:val="Table Grid"/>
    <w:basedOn w:val="TableNormal"/>
    <w:uiPriority w:val="39"/>
    <w:rsid w:val="00D9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0A1"/>
    <w:rPr>
      <w:rFonts w:ascii="Segoe UI" w:eastAsia="Times New Roman" w:hAnsi="Segoe UI" w:cs="Segoe UI"/>
      <w:sz w:val="18"/>
      <w:szCs w:val="18"/>
    </w:rPr>
  </w:style>
  <w:style w:type="character" w:styleId="Hyperlink">
    <w:name w:val="Hyperlink"/>
    <w:basedOn w:val="DefaultParagraphFont"/>
    <w:uiPriority w:val="99"/>
    <w:unhideWhenUsed/>
    <w:rsid w:val="00F972B5"/>
    <w:rPr>
      <w:color w:val="0000FF"/>
      <w:u w:val="single"/>
    </w:rPr>
  </w:style>
  <w:style w:type="character" w:customStyle="1" w:styleId="Heading2Char">
    <w:name w:val="Heading 2 Char"/>
    <w:basedOn w:val="DefaultParagraphFont"/>
    <w:link w:val="Heading2"/>
    <w:uiPriority w:val="9"/>
    <w:semiHidden/>
    <w:rsid w:val="00842A00"/>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482E4C"/>
    <w:rPr>
      <w:sz w:val="16"/>
      <w:szCs w:val="16"/>
    </w:rPr>
  </w:style>
  <w:style w:type="paragraph" w:styleId="CommentText">
    <w:name w:val="annotation text"/>
    <w:basedOn w:val="Normal"/>
    <w:link w:val="CommentTextChar"/>
    <w:uiPriority w:val="99"/>
    <w:unhideWhenUsed/>
    <w:rsid w:val="00482E4C"/>
    <w:rPr>
      <w:sz w:val="20"/>
      <w:szCs w:val="20"/>
    </w:rPr>
  </w:style>
  <w:style w:type="character" w:customStyle="1" w:styleId="CommentTextChar">
    <w:name w:val="Comment Text Char"/>
    <w:basedOn w:val="DefaultParagraphFont"/>
    <w:link w:val="CommentText"/>
    <w:uiPriority w:val="99"/>
    <w:rsid w:val="00482E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2E4C"/>
    <w:rPr>
      <w:b/>
      <w:bCs/>
    </w:rPr>
  </w:style>
  <w:style w:type="character" w:customStyle="1" w:styleId="CommentSubjectChar">
    <w:name w:val="Comment Subject Char"/>
    <w:basedOn w:val="CommentTextChar"/>
    <w:link w:val="CommentSubject"/>
    <w:uiPriority w:val="99"/>
    <w:semiHidden/>
    <w:rsid w:val="00482E4C"/>
    <w:rPr>
      <w:rFonts w:ascii="Times New Roman" w:eastAsia="Times New Roman" w:hAnsi="Times New Roman" w:cs="Times New Roman"/>
      <w:b/>
      <w:bCs/>
      <w:sz w:val="20"/>
      <w:szCs w:val="20"/>
    </w:rPr>
  </w:style>
  <w:style w:type="paragraph" w:styleId="Revision">
    <w:name w:val="Revision"/>
    <w:hidden/>
    <w:uiPriority w:val="99"/>
    <w:semiHidden/>
    <w:rsid w:val="005D7A7F"/>
    <w:pPr>
      <w:widowControl/>
      <w:autoSpaceDE/>
      <w:autoSpaceDN/>
    </w:pPr>
    <w:rPr>
      <w:rFonts w:ascii="Times New Roman" w:eastAsia="Times New Roman" w:hAnsi="Times New Roman" w:cs="Times New Roman"/>
    </w:rPr>
  </w:style>
  <w:style w:type="paragraph" w:styleId="TOC1">
    <w:name w:val="toc 1"/>
    <w:basedOn w:val="Normal"/>
    <w:uiPriority w:val="1"/>
    <w:qFormat/>
    <w:rsid w:val="00A74405"/>
    <w:pPr>
      <w:ind w:right="13"/>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98073">
      <w:bodyDiv w:val="1"/>
      <w:marLeft w:val="0"/>
      <w:marRight w:val="0"/>
      <w:marTop w:val="0"/>
      <w:marBottom w:val="0"/>
      <w:divBdr>
        <w:top w:val="none" w:sz="0" w:space="0" w:color="auto"/>
        <w:left w:val="none" w:sz="0" w:space="0" w:color="auto"/>
        <w:bottom w:val="none" w:sz="0" w:space="0" w:color="auto"/>
        <w:right w:val="none" w:sz="0" w:space="0" w:color="auto"/>
      </w:divBdr>
    </w:div>
    <w:div w:id="8337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ome.treasury.gov/system/files/136/SLFRF-Compliance-and-Reporting-Guidance.pdf" TargetMode="External"/><Relationship Id="rId13" Type="http://schemas.openxmlformats.org/officeDocument/2006/relationships/hyperlink" Target="https://www.whitehouse.gov/wp-content/uploads/2022/04/White-House-School-Infrastructure-Toolkit-04.04.22.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ome.treasury.gov/system/files/136/SLFRF-Final-Rule-FAQ.pdf" TargetMode="External"/><Relationship Id="rId12" Type="http://schemas.openxmlformats.org/officeDocument/2006/relationships/hyperlink" Target="https://www.epa.gov/coronavirus/ventilation-and-coronavirus-covid-19" TargetMode="External"/><Relationship Id="rId17" Type="http://schemas.openxmlformats.org/officeDocument/2006/relationships/hyperlink" Target="https://www.energy.gov/eere/buildings/efficient-and-healthy-schools" TargetMode="External"/><Relationship Id="rId2" Type="http://schemas.openxmlformats.org/officeDocument/2006/relationships/styles" Target="styles.xml"/><Relationship Id="rId16" Type="http://schemas.openxmlformats.org/officeDocument/2006/relationships/hyperlink" Target="https://efficienthealthyschools.lbl.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indoor-air-quality-iaq/clean-air-buildings-challenge" TargetMode="External"/><Relationship Id="rId5" Type="http://schemas.openxmlformats.org/officeDocument/2006/relationships/footnotes" Target="footnotes.xml"/><Relationship Id="rId15" Type="http://schemas.openxmlformats.org/officeDocument/2006/relationships/hyperlink" Target="https://www.epa.gov/iaq-schools" TargetMode="External"/><Relationship Id="rId10" Type="http://schemas.openxmlformats.org/officeDocument/2006/relationships/hyperlink" Target="https://www.epa.gov/indoor-air-quality-iaq/clean-air-buildings-challen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me.treasury.gov/system/files/136/Jan-2023-PE-Report-User-Guide.pdf" TargetMode="External"/><Relationship Id="rId14" Type="http://schemas.openxmlformats.org/officeDocument/2006/relationships/hyperlink" Target="https://www.whitehouse.gov/wp-content/uploads/2022/04/White-House-School-Infrastructure-Toolkit-04.04.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3821</Words>
  <Characters>21782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Carr, Riggs, &amp; Ingram, LLC</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McDonald</dc:creator>
  <cp:lastModifiedBy>Elton Sims</cp:lastModifiedBy>
  <cp:revision>2</cp:revision>
  <cp:lastPrinted>2023-03-07T18:04:00Z</cp:lastPrinted>
  <dcterms:created xsi:type="dcterms:W3CDTF">2024-05-30T17:52:00Z</dcterms:created>
  <dcterms:modified xsi:type="dcterms:W3CDTF">2024-05-30T17:52:00Z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PDFium</vt:lpwstr>
  </property>
  <property fmtid="{D5CDD505-2E9C-101B-9397-08002B2CF9AE}" pid="4" name="LastSaved">
    <vt:filetime>2020-08-03T00:00:00Z</vt:filetime>
  </property>
  <property fmtid="{D5CDD505-2E9C-101B-9397-08002B2CF9AE}" pid="5" name="GrammarlyDocumentId">
    <vt:lpwstr>8a05e20917aec6af106eff8bea4f5a2fa98b324539a3879f5f8261cc718eaaae</vt:lpwstr>
  </property>
</Properties>
</file>